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517BEFF4" w:rsidR="009A4023" w:rsidRPr="00B62DAC" w:rsidRDefault="009A4023" w:rsidP="005821E2">
      <w:pPr>
        <w:jc w:val="both"/>
        <w:rPr>
          <w:b/>
          <w:bCs/>
        </w:rPr>
      </w:pPr>
      <w:r w:rsidRPr="00B62DAC">
        <w:rPr>
          <w:b/>
          <w:bCs/>
        </w:rPr>
        <w:t>XX</w:t>
      </w:r>
      <w:r w:rsidR="00BB7518">
        <w:rPr>
          <w:b/>
          <w:bCs/>
        </w:rPr>
        <w:t>I</w:t>
      </w:r>
      <w:r w:rsidR="000A2CFC">
        <w:rPr>
          <w:b/>
          <w:bCs/>
        </w:rPr>
        <w:t>I</w:t>
      </w:r>
    </w:p>
    <w:p w14:paraId="2E91C872" w14:textId="6C5D6C44" w:rsidR="005821E2" w:rsidRPr="005821E2" w:rsidRDefault="005821E2" w:rsidP="005821E2">
      <w:pPr>
        <w:jc w:val="both"/>
      </w:pPr>
      <w:r w:rsidRPr="005821E2">
        <w:t>A editora Cruzeiro lançou uma biografia da cantora Jaqueline, que fez grande sucesso nas décadas de 1980 e 1990, e, por conta do consumo exagerado de drogas, dentre outros excessos, acabou por se afastar da vida artística, vivendo reclusa em uma chácara no interior de Minas Gerais, há quase vinte anos.</w:t>
      </w:r>
      <w:r w:rsidR="006C0D83">
        <w:t xml:space="preserve"> </w:t>
      </w:r>
      <w:r w:rsidRPr="005821E2">
        <w:t>Poucos dias após o início da venda dos livros, e alguns dias antes de um evento nacional organizado para sua divulgação, por meio de oficial de justiça, a editora foi citada para responder a uma ação de indenização por danos morais cumulada com obrigação de fazer, ajuizada por Jaqueline. No mesmo mandado, a editora foi intimada a cumprir decisão do Juízo da 1ª Vara Cível da Comarca da Capital do Estado de São Paulo, que deferiu a antecipação de tutela para condenar a ré a não mais vender exemplares da biografia, bem a recolher todos aqueles que já tivessem sido remetidos a pontos de venda e ainda não tivessem sido comprados, no prazo de setenta e duas horas, sob pena de multa diária de cinquenta mil reais.</w:t>
      </w:r>
      <w:r w:rsidR="006C0D83">
        <w:t xml:space="preserve"> </w:t>
      </w:r>
      <w:r w:rsidRPr="005821E2">
        <w:t>A decisão acolheu os fundamentos da petição inicial, no sentido de que a obra revela fatos da imagem e da vida privada da cantora sem que tenha havido sua autorização prévia, o que gera lesão à sua personalidade e dano moral, nos termos dos artigos 20 e 21 do Código Civil, e que, sem a imediata interrupção da divulgação da biografia, essa lesão se ampliaria e se consumaria de forma definitiva, revelando o perigo de dano irreparável e o risco ao resultado útil do processo. </w:t>
      </w:r>
      <w:r w:rsidR="006C0D83">
        <w:t xml:space="preserve"> </w:t>
      </w:r>
      <w:r w:rsidRPr="005821E2">
        <w:t>A editora procura você como advogado(a), informando que foi intimada da decisão há três dias (mas o mandado somente foi juntado aos autos no dia de hoje) e que pretende dela recorrer, pois entende que não se justifica a censura à sua atividade, por tratar-se de informações verdadeiras sobre a vida de uma celebridade, e afirma que o recolhimento dos livros lhe causará significativos prejuízos, especialmente com o cancelamento do evento de divulgação programado para ser realizado em trinta dias. Na qualidade de advogado(a) da editora Cruzeiro, elabore o recurso cabível voltado a impugnar a decisão que deferiu a antecipação da tutela descrita no enunciado, afastados embargos de declaração. </w:t>
      </w:r>
      <w:r w:rsidRPr="005821E2">
        <w:rPr>
          <w:b/>
          <w:bCs/>
        </w:rPr>
        <w:t>(Valor: 5,00)</w:t>
      </w:r>
    </w:p>
    <w:p w14:paraId="29C39023" w14:textId="77777777" w:rsidR="005821E2" w:rsidRPr="005821E2" w:rsidRDefault="005821E2" w:rsidP="005821E2">
      <w:pPr>
        <w:jc w:val="both"/>
      </w:pPr>
      <w:r w:rsidRPr="005821E2">
        <w:rPr>
          <w:i/>
          <w:iCs/>
        </w:rPr>
        <w:t> </w:t>
      </w:r>
    </w:p>
    <w:p w14:paraId="7BF0264F" w14:textId="302FEA81" w:rsidR="005821E2" w:rsidRPr="005821E2" w:rsidRDefault="005821E2" w:rsidP="005821E2">
      <w:pPr>
        <w:jc w:val="both"/>
      </w:pPr>
      <w:r w:rsidRPr="005821E2">
        <w:rPr>
          <w:b/>
          <w:bCs/>
        </w:rPr>
        <w:t>Espelho de Correção</w:t>
      </w:r>
      <w:r w:rsidR="006C0D83">
        <w:t xml:space="preserve">: </w:t>
      </w:r>
      <w:r w:rsidRPr="005821E2">
        <w:t>A decisão impugnada é uma decisão interlocutória que concedeu tutela provisória, razão pela qual o recurso cabível para sua impugnação é o agravo de instrumento (Art. 1.015, inciso I, do CPC/15), cuja interposição deve ocorrer dentro dos próximos quinze dias úteis (Art. 1.003, § 5º, do CPC/15), já que se contam da data da juntada aos autos do mandado de intimação (Art. 231, inciso II, do CPC/15).</w:t>
      </w:r>
      <w:r w:rsidR="006C0D83">
        <w:t xml:space="preserve"> </w:t>
      </w:r>
      <w:r w:rsidRPr="005821E2">
        <w:t xml:space="preserve">No mérito, deve ser impugnada a probabilidade do direito, de acordo com a interpretação conforme à Constituição dada aos artigos 20 e 21 do CC pela jurisprudência superior, no sentido de ser inexigível autorização de pessoa biografada. A ponderação, nesta </w:t>
      </w:r>
      <w:r w:rsidR="006C0D83" w:rsidRPr="005821E2">
        <w:t>hipótese</w:t>
      </w:r>
      <w:r w:rsidRPr="005821E2">
        <w:t>, deve privilegiar a liberdade de expressão, assegurada pelo Art. 5º, IX, da Constituição da República, especialmente em se tratando de pessoa notória, cabível somente, em caso de abuso, a responsabilização posterior, mas não a censura prévia.</w:t>
      </w:r>
      <w:r w:rsidR="006C0D83">
        <w:t xml:space="preserve"> </w:t>
      </w:r>
      <w:r w:rsidRPr="005821E2">
        <w:t>Deve ser deduzido pedido de concessão de efeito suspensivo ao agravo, de forma a evitar risco de dano grave, na forma do Art. 995, parágrafo único e/ou Art. 1.019, inciso I, ambos do CPC/15.</w:t>
      </w:r>
    </w:p>
    <w:p w14:paraId="15BDC476" w14:textId="06FF0739" w:rsidR="005821E2" w:rsidRPr="006C0D83" w:rsidRDefault="005821E2" w:rsidP="005821E2">
      <w:pPr>
        <w:jc w:val="both"/>
      </w:pPr>
      <w:r w:rsidRPr="005821E2">
        <w:rPr>
          <w:b/>
          <w:bCs/>
        </w:rPr>
        <w:t> </w:t>
      </w:r>
    </w:p>
    <w:tbl>
      <w:tblPr>
        <w:tblW w:w="0" w:type="auto"/>
        <w:tblCellMar>
          <w:left w:w="0" w:type="dxa"/>
          <w:right w:w="0" w:type="dxa"/>
        </w:tblCellMar>
        <w:tblLook w:val="04A0" w:firstRow="1" w:lastRow="0" w:firstColumn="1" w:lastColumn="0" w:noHBand="0" w:noVBand="1"/>
      </w:tblPr>
      <w:tblGrid>
        <w:gridCol w:w="5734"/>
        <w:gridCol w:w="2760"/>
      </w:tblGrid>
      <w:tr w:rsidR="005821E2" w:rsidRPr="005821E2" w14:paraId="1D51A857" w14:textId="77777777">
        <w:tc>
          <w:tcPr>
            <w:tcW w:w="0" w:type="auto"/>
            <w:tcBorders>
              <w:top w:val="single" w:sz="8" w:space="0" w:color="auto"/>
              <w:left w:val="nil"/>
              <w:bottom w:val="single" w:sz="8" w:space="0" w:color="auto"/>
              <w:right w:val="nil"/>
            </w:tcBorders>
            <w:shd w:val="clear" w:color="auto" w:fill="943634"/>
            <w:tcMar>
              <w:top w:w="51" w:type="dxa"/>
              <w:left w:w="72" w:type="dxa"/>
              <w:bottom w:w="0" w:type="dxa"/>
              <w:right w:w="25" w:type="dxa"/>
            </w:tcMar>
            <w:hideMark/>
          </w:tcPr>
          <w:p w14:paraId="2C26AAA6" w14:textId="77777777" w:rsidR="005821E2" w:rsidRPr="005821E2" w:rsidRDefault="005821E2" w:rsidP="005821E2">
            <w:pPr>
              <w:jc w:val="both"/>
            </w:pPr>
            <w:r w:rsidRPr="005821E2">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1" w:type="dxa"/>
              <w:left w:w="72" w:type="dxa"/>
              <w:bottom w:w="0" w:type="dxa"/>
              <w:right w:w="25" w:type="dxa"/>
            </w:tcMar>
            <w:hideMark/>
          </w:tcPr>
          <w:p w14:paraId="626D7C97" w14:textId="77777777" w:rsidR="005821E2" w:rsidRPr="005821E2" w:rsidRDefault="005821E2" w:rsidP="005821E2">
            <w:pPr>
              <w:jc w:val="both"/>
            </w:pPr>
            <w:r w:rsidRPr="005821E2">
              <w:rPr>
                <w:b/>
                <w:bCs/>
              </w:rPr>
              <w:t>PONTUAÇÃO</w:t>
            </w:r>
          </w:p>
        </w:tc>
      </w:tr>
      <w:tr w:rsidR="005821E2" w:rsidRPr="005821E2" w14:paraId="3F8E981F"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60B3D244" w14:textId="77777777" w:rsidR="005821E2" w:rsidRPr="005821E2" w:rsidRDefault="005821E2" w:rsidP="005821E2">
            <w:pPr>
              <w:jc w:val="both"/>
            </w:pPr>
            <w:r w:rsidRPr="005821E2">
              <w:rPr>
                <w:b/>
                <w:bCs/>
              </w:rPr>
              <w:lastRenderedPageBreak/>
              <w:t>Endereçamento</w:t>
            </w:r>
            <w:r w:rsidRPr="005821E2">
              <w:t>: A petição deve ser endereçada ao Tribunal de Justiça do Estado de São Paulo (0,10)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6D967189" w14:textId="77777777" w:rsidR="005821E2" w:rsidRPr="005821E2" w:rsidRDefault="005821E2" w:rsidP="005821E2">
            <w:pPr>
              <w:jc w:val="both"/>
            </w:pPr>
            <w:r w:rsidRPr="005821E2">
              <w:t>0,00/0,10</w:t>
            </w:r>
          </w:p>
        </w:tc>
      </w:tr>
      <w:tr w:rsidR="005821E2" w:rsidRPr="005821E2" w14:paraId="6EFBC2AE"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5C6EA0C5" w14:textId="77777777" w:rsidR="005821E2" w:rsidRPr="005821E2" w:rsidRDefault="005821E2" w:rsidP="005821E2">
            <w:pPr>
              <w:jc w:val="both"/>
            </w:pPr>
            <w:r w:rsidRPr="005821E2">
              <w:rPr>
                <w:b/>
                <w:bCs/>
              </w:rPr>
              <w:t>Nome e qualificação das partes</w:t>
            </w:r>
            <w:r w:rsidRPr="005821E2">
              <w:t>: agravante: Editora Cruzeiro (0,10); agravada Jaqueline</w:t>
            </w:r>
          </w:p>
          <w:p w14:paraId="1B1A98A9" w14:textId="77777777" w:rsidR="005821E2" w:rsidRPr="005821E2" w:rsidRDefault="005821E2" w:rsidP="005821E2">
            <w:pPr>
              <w:jc w:val="both"/>
            </w:pPr>
            <w:r w:rsidRPr="005821E2">
              <w:t>(0,10)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665F3EDE" w14:textId="77777777" w:rsidR="005821E2" w:rsidRPr="005821E2" w:rsidRDefault="005821E2" w:rsidP="005821E2">
            <w:pPr>
              <w:jc w:val="both"/>
            </w:pPr>
            <w:r w:rsidRPr="005821E2">
              <w:t>0,00/0,10/0,20</w:t>
            </w:r>
          </w:p>
        </w:tc>
      </w:tr>
      <w:tr w:rsidR="005821E2" w:rsidRPr="005821E2" w14:paraId="39C53BA1"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4B688CF7" w14:textId="77777777" w:rsidR="005821E2" w:rsidRPr="005821E2" w:rsidRDefault="005821E2" w:rsidP="005821E2">
            <w:pPr>
              <w:jc w:val="both"/>
            </w:pPr>
            <w:r w:rsidRPr="005821E2">
              <w:rPr>
                <w:b/>
                <w:bCs/>
              </w:rPr>
              <w:t>Indicação dos nomes e endereços dos Advogados </w:t>
            </w:r>
            <w:r w:rsidRPr="005821E2">
              <w:t>(Art. 1.016, IV, do CPC/15) (0,10)</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04F4AE09" w14:textId="77777777" w:rsidR="005821E2" w:rsidRPr="005821E2" w:rsidRDefault="005821E2" w:rsidP="005821E2">
            <w:pPr>
              <w:jc w:val="both"/>
            </w:pPr>
            <w:r w:rsidRPr="005821E2">
              <w:t>0,00/0,10</w:t>
            </w:r>
          </w:p>
        </w:tc>
      </w:tr>
      <w:tr w:rsidR="005821E2" w:rsidRPr="005821E2" w14:paraId="5147FE11"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5E8D5758" w14:textId="77777777" w:rsidR="005821E2" w:rsidRPr="005821E2" w:rsidRDefault="005821E2" w:rsidP="005821E2">
            <w:pPr>
              <w:jc w:val="both"/>
            </w:pPr>
            <w:r w:rsidRPr="005821E2">
              <w:rPr>
                <w:b/>
                <w:bCs/>
              </w:rPr>
              <w:t>Cabimento</w:t>
            </w:r>
            <w:r w:rsidRPr="005821E2">
              <w:t>: indicar que a decisão agravada é interlocutória e concessiva de tutela provisória (0,40), segundo o Art. 1.015, inciso I, do CPC/15 (0,10)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6F5CAC39" w14:textId="77777777" w:rsidR="005821E2" w:rsidRPr="005821E2" w:rsidRDefault="005821E2" w:rsidP="005821E2">
            <w:pPr>
              <w:jc w:val="both"/>
            </w:pPr>
            <w:r w:rsidRPr="005821E2">
              <w:t>0,00/0,40/0,50</w:t>
            </w:r>
          </w:p>
        </w:tc>
      </w:tr>
      <w:tr w:rsidR="005821E2" w:rsidRPr="005821E2" w14:paraId="391FD81E"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51EAB9A7" w14:textId="77777777" w:rsidR="005821E2" w:rsidRPr="005821E2" w:rsidRDefault="005821E2" w:rsidP="005821E2">
            <w:pPr>
              <w:jc w:val="both"/>
            </w:pPr>
            <w:r w:rsidRPr="005821E2">
              <w:rPr>
                <w:b/>
                <w:bCs/>
              </w:rPr>
              <w:t>Tempestividade</w:t>
            </w:r>
            <w:r w:rsidRPr="005821E2">
              <w:t xml:space="preserve">: indicar que o recurso foi interposto em </w:t>
            </w:r>
            <w:proofErr w:type="spellStart"/>
            <w:r w:rsidRPr="005821E2">
              <w:t>atéquinze</w:t>
            </w:r>
            <w:proofErr w:type="spellEnd"/>
            <w:r w:rsidRPr="005821E2">
              <w:t xml:space="preserve"> dias (0,20) úteis, conforme o Art. 1.003, § 5º, do CPC/15 (0,10), contados da data da juntada aos autos do mandado de intimação (0,20), conforme o Art. 231, inciso II, do CPC/15 (0,10).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34E10F97" w14:textId="77777777" w:rsidR="005821E2" w:rsidRPr="005821E2" w:rsidRDefault="005821E2" w:rsidP="005821E2">
            <w:pPr>
              <w:jc w:val="both"/>
            </w:pPr>
            <w:r w:rsidRPr="005821E2">
              <w:t>0,00/0,20/0,30/ 0,40/0,50/0,60</w:t>
            </w:r>
          </w:p>
        </w:tc>
      </w:tr>
      <w:tr w:rsidR="005821E2" w:rsidRPr="005821E2" w14:paraId="715BB5AD"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15B2BC96" w14:textId="77777777" w:rsidR="005821E2" w:rsidRPr="005821E2" w:rsidRDefault="005821E2" w:rsidP="005821E2">
            <w:pPr>
              <w:jc w:val="both"/>
            </w:pPr>
            <w:r w:rsidRPr="005821E2">
              <w:rPr>
                <w:b/>
                <w:bCs/>
              </w:rPr>
              <w:t>Fundamentação Jurídica/Legal: </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04F97720" w14:textId="77777777" w:rsidR="005821E2" w:rsidRPr="005821E2" w:rsidRDefault="005821E2" w:rsidP="005821E2">
            <w:pPr>
              <w:jc w:val="both"/>
            </w:pPr>
            <w:r w:rsidRPr="005821E2">
              <w:t> </w:t>
            </w:r>
          </w:p>
        </w:tc>
      </w:tr>
      <w:tr w:rsidR="005821E2" w:rsidRPr="005821E2" w14:paraId="3B8C7B0C"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vAlign w:val="center"/>
            <w:hideMark/>
          </w:tcPr>
          <w:p w14:paraId="6655B0BF" w14:textId="77777777" w:rsidR="005821E2" w:rsidRPr="005821E2" w:rsidRDefault="005821E2" w:rsidP="005821E2">
            <w:pPr>
              <w:jc w:val="both"/>
            </w:pPr>
            <w:r w:rsidRPr="005821E2">
              <w:t>A - Afirmar a ausência de probabilidade do direito (0,30):</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006A75D1" w14:textId="77777777" w:rsidR="005821E2" w:rsidRPr="005821E2" w:rsidRDefault="005821E2" w:rsidP="005821E2">
            <w:pPr>
              <w:jc w:val="both"/>
            </w:pPr>
            <w:r w:rsidRPr="005821E2">
              <w:t>0,00/0,30</w:t>
            </w:r>
          </w:p>
          <w:p w14:paraId="0F369205" w14:textId="77777777" w:rsidR="005821E2" w:rsidRPr="005821E2" w:rsidRDefault="005821E2" w:rsidP="005821E2">
            <w:pPr>
              <w:jc w:val="both"/>
            </w:pPr>
            <w:r w:rsidRPr="005821E2">
              <w:t> </w:t>
            </w:r>
          </w:p>
        </w:tc>
      </w:tr>
      <w:tr w:rsidR="005821E2" w:rsidRPr="005821E2" w14:paraId="57956B09"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vAlign w:val="center"/>
            <w:hideMark/>
          </w:tcPr>
          <w:p w14:paraId="1759474D" w14:textId="77777777" w:rsidR="005821E2" w:rsidRPr="005821E2" w:rsidRDefault="005821E2" w:rsidP="005821E2">
            <w:pPr>
              <w:jc w:val="both"/>
            </w:pPr>
            <w:r w:rsidRPr="005821E2">
              <w:t>A.1 - por ser desnecessária a autorização prévia do biografado (0,40), em razão de interpretação conforme a Constituição dada aos artigos 20 e 21 do CC (0,20)</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57111F27" w14:textId="77777777" w:rsidR="005821E2" w:rsidRPr="005821E2" w:rsidRDefault="005821E2" w:rsidP="005821E2">
            <w:pPr>
              <w:jc w:val="both"/>
            </w:pPr>
            <w:r w:rsidRPr="005821E2">
              <w:t>0,00/0,20/0,40/0,60</w:t>
            </w:r>
          </w:p>
          <w:p w14:paraId="46E4EE43" w14:textId="77777777" w:rsidR="005821E2" w:rsidRPr="005821E2" w:rsidRDefault="005821E2" w:rsidP="005821E2">
            <w:pPr>
              <w:jc w:val="both"/>
            </w:pPr>
            <w:r w:rsidRPr="005821E2">
              <w:t> </w:t>
            </w:r>
          </w:p>
        </w:tc>
      </w:tr>
      <w:tr w:rsidR="005821E2" w:rsidRPr="005821E2" w14:paraId="1C886C20"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1A382B49" w14:textId="77777777" w:rsidR="005821E2" w:rsidRPr="005821E2" w:rsidRDefault="005821E2" w:rsidP="005821E2">
            <w:pPr>
              <w:jc w:val="both"/>
            </w:pPr>
            <w:r w:rsidRPr="005821E2">
              <w:t>A.2 - em razão do exercício regular da liberdade de expressão (0,40), conforme o Art. 5º, IX, da Constituição da República (0,10).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77E16263" w14:textId="77777777" w:rsidR="005821E2" w:rsidRPr="005821E2" w:rsidRDefault="005821E2" w:rsidP="005821E2">
            <w:pPr>
              <w:jc w:val="both"/>
            </w:pPr>
            <w:r w:rsidRPr="005821E2">
              <w:t>0,00/0,40/0,50</w:t>
            </w:r>
          </w:p>
        </w:tc>
      </w:tr>
      <w:tr w:rsidR="005821E2" w:rsidRPr="005821E2" w14:paraId="30178362"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38A8BA5A" w14:textId="77777777" w:rsidR="005821E2" w:rsidRPr="005821E2" w:rsidRDefault="005821E2" w:rsidP="005821E2">
            <w:pPr>
              <w:jc w:val="both"/>
            </w:pPr>
            <w:r w:rsidRPr="005821E2">
              <w:t>A.3 - por se tratar de fatos verdadeiros (0,30) e pessoa notória ou pública (0,20)</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3C01E769" w14:textId="77777777" w:rsidR="005821E2" w:rsidRPr="005821E2" w:rsidRDefault="005821E2" w:rsidP="005821E2">
            <w:pPr>
              <w:jc w:val="both"/>
            </w:pPr>
            <w:r w:rsidRPr="005821E2">
              <w:t>0,00/0,20/0,30/0,50</w:t>
            </w:r>
          </w:p>
        </w:tc>
      </w:tr>
      <w:tr w:rsidR="005821E2" w:rsidRPr="005821E2" w14:paraId="59E7CB4E"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11181115" w14:textId="77777777" w:rsidR="005821E2" w:rsidRPr="005821E2" w:rsidRDefault="005821E2" w:rsidP="005821E2">
            <w:pPr>
              <w:jc w:val="both"/>
            </w:pPr>
            <w:r w:rsidRPr="005821E2">
              <w:rPr>
                <w:b/>
                <w:bCs/>
              </w:rPr>
              <w:t>Fundamentação do efeito suspensivo:</w:t>
            </w:r>
          </w:p>
          <w:p w14:paraId="63541B3C" w14:textId="77777777" w:rsidR="005821E2" w:rsidRPr="005821E2" w:rsidRDefault="005821E2" w:rsidP="005821E2">
            <w:pPr>
              <w:jc w:val="both"/>
            </w:pPr>
            <w:r w:rsidRPr="005821E2">
              <w:t>Demonstrar os danos graves ou de difícil reparação que a manutenção da decisão ocasionará (0,30) e a probabilidade de provimento do recurso (0,30), na forma do Art.</w:t>
            </w:r>
          </w:p>
          <w:p w14:paraId="2CA5A703" w14:textId="77777777" w:rsidR="005821E2" w:rsidRPr="005821E2" w:rsidRDefault="005821E2" w:rsidP="005821E2">
            <w:pPr>
              <w:jc w:val="both"/>
            </w:pPr>
            <w:r w:rsidRPr="005821E2">
              <w:t>995, parágrafo único, OU Art. 1.019, I do CPC/15 (0,10)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6A04EC3D" w14:textId="77777777" w:rsidR="005821E2" w:rsidRPr="005821E2" w:rsidRDefault="005821E2" w:rsidP="005821E2">
            <w:pPr>
              <w:jc w:val="both"/>
            </w:pPr>
            <w:r w:rsidRPr="005821E2">
              <w:t>0,00/0,30/0,40/0,60/0,70</w:t>
            </w:r>
          </w:p>
        </w:tc>
      </w:tr>
      <w:tr w:rsidR="005821E2" w:rsidRPr="005821E2" w14:paraId="68E03C70"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2C6F65CD" w14:textId="77777777" w:rsidR="005821E2" w:rsidRPr="005821E2" w:rsidRDefault="005821E2" w:rsidP="005821E2">
            <w:pPr>
              <w:jc w:val="both"/>
            </w:pPr>
            <w:r w:rsidRPr="005821E2">
              <w:rPr>
                <w:b/>
                <w:bCs/>
              </w:rPr>
              <w:t>Pedidos</w:t>
            </w:r>
            <w:r w:rsidRPr="005821E2">
              <w:t>:</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48A1239E" w14:textId="77777777" w:rsidR="005821E2" w:rsidRPr="005821E2" w:rsidRDefault="005821E2" w:rsidP="005821E2">
            <w:pPr>
              <w:jc w:val="both"/>
            </w:pPr>
            <w:r w:rsidRPr="005821E2">
              <w:t> </w:t>
            </w:r>
          </w:p>
        </w:tc>
      </w:tr>
      <w:tr w:rsidR="005821E2" w:rsidRPr="005821E2" w14:paraId="6C4D95FF"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7D7B7EEF" w14:textId="77777777" w:rsidR="005821E2" w:rsidRPr="005821E2" w:rsidRDefault="005821E2" w:rsidP="005821E2">
            <w:pPr>
              <w:jc w:val="both"/>
            </w:pPr>
            <w:r w:rsidRPr="005821E2">
              <w:t>Pedido de atribuição de efeito suspensivo ao recurso (0,30)</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05C18665" w14:textId="77777777" w:rsidR="005821E2" w:rsidRPr="005821E2" w:rsidRDefault="005821E2" w:rsidP="005821E2">
            <w:pPr>
              <w:jc w:val="both"/>
            </w:pPr>
            <w:r w:rsidRPr="005821E2">
              <w:t>0,00/0,30</w:t>
            </w:r>
          </w:p>
        </w:tc>
      </w:tr>
      <w:tr w:rsidR="005821E2" w:rsidRPr="005821E2" w14:paraId="0755F8C7"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77805883" w14:textId="77777777" w:rsidR="005821E2" w:rsidRPr="005821E2" w:rsidRDefault="005821E2" w:rsidP="005821E2">
            <w:pPr>
              <w:jc w:val="both"/>
            </w:pPr>
            <w:r w:rsidRPr="005821E2">
              <w:t>Pedido de provimento do recurso (0,10) </w:t>
            </w:r>
            <w:proofErr w:type="spellStart"/>
            <w:r w:rsidRPr="005821E2">
              <w:t>parareformar</w:t>
            </w:r>
            <w:proofErr w:type="spellEnd"/>
            <w:r w:rsidRPr="005821E2">
              <w:t xml:space="preserve"> da decisão OU indeferir a tutela provisória (0,30).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11D0839E" w14:textId="77777777" w:rsidR="005821E2" w:rsidRPr="005821E2" w:rsidRDefault="005821E2" w:rsidP="005821E2">
            <w:pPr>
              <w:jc w:val="both"/>
            </w:pPr>
            <w:r w:rsidRPr="005821E2">
              <w:t>0,00/0,10/0,30/0,40</w:t>
            </w:r>
          </w:p>
        </w:tc>
      </w:tr>
      <w:tr w:rsidR="005821E2" w:rsidRPr="005821E2" w14:paraId="19B5D569"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08359C80" w14:textId="77777777" w:rsidR="005821E2" w:rsidRPr="005821E2" w:rsidRDefault="005821E2" w:rsidP="005821E2">
            <w:pPr>
              <w:jc w:val="both"/>
            </w:pPr>
            <w:r w:rsidRPr="005821E2">
              <w:t>Juntada do comprovante de recolhimento de custas ou pedido de gratuidade de justiça (0,10).</w:t>
            </w:r>
          </w:p>
        </w:tc>
        <w:tc>
          <w:tcPr>
            <w:tcW w:w="0" w:type="auto"/>
            <w:tcBorders>
              <w:top w:val="nil"/>
              <w:left w:val="nil"/>
              <w:bottom w:val="single" w:sz="8" w:space="0" w:color="auto"/>
              <w:right w:val="single" w:sz="8" w:space="0" w:color="auto"/>
            </w:tcBorders>
            <w:tcMar>
              <w:top w:w="51" w:type="dxa"/>
              <w:left w:w="72" w:type="dxa"/>
              <w:bottom w:w="0" w:type="dxa"/>
              <w:right w:w="25" w:type="dxa"/>
            </w:tcMar>
            <w:vAlign w:val="center"/>
            <w:hideMark/>
          </w:tcPr>
          <w:p w14:paraId="0BC18271" w14:textId="77777777" w:rsidR="005821E2" w:rsidRPr="005821E2" w:rsidRDefault="005821E2" w:rsidP="005821E2">
            <w:pPr>
              <w:jc w:val="both"/>
            </w:pPr>
            <w:r w:rsidRPr="005821E2">
              <w:t>0,00/0,10</w:t>
            </w:r>
          </w:p>
        </w:tc>
      </w:tr>
      <w:tr w:rsidR="005821E2" w:rsidRPr="005821E2" w14:paraId="48F73F20" w14:textId="77777777">
        <w:tc>
          <w:tcPr>
            <w:tcW w:w="0" w:type="auto"/>
            <w:tcBorders>
              <w:top w:val="nil"/>
              <w:left w:val="single" w:sz="8" w:space="0" w:color="auto"/>
              <w:bottom w:val="single" w:sz="8" w:space="0" w:color="auto"/>
              <w:right w:val="single" w:sz="8" w:space="0" w:color="auto"/>
            </w:tcBorders>
            <w:tcMar>
              <w:top w:w="51" w:type="dxa"/>
              <w:left w:w="72" w:type="dxa"/>
              <w:bottom w:w="0" w:type="dxa"/>
              <w:right w:w="25" w:type="dxa"/>
            </w:tcMar>
            <w:hideMark/>
          </w:tcPr>
          <w:p w14:paraId="6FC8E500" w14:textId="77777777" w:rsidR="005821E2" w:rsidRPr="005821E2" w:rsidRDefault="005821E2" w:rsidP="005821E2">
            <w:pPr>
              <w:jc w:val="both"/>
            </w:pPr>
            <w:r w:rsidRPr="005821E2">
              <w:t>Fechamento da peça: local, data e assinatura (0,10).</w:t>
            </w:r>
          </w:p>
        </w:tc>
        <w:tc>
          <w:tcPr>
            <w:tcW w:w="0" w:type="auto"/>
            <w:tcBorders>
              <w:top w:val="nil"/>
              <w:left w:val="nil"/>
              <w:bottom w:val="single" w:sz="8" w:space="0" w:color="auto"/>
              <w:right w:val="single" w:sz="8" w:space="0" w:color="auto"/>
            </w:tcBorders>
            <w:tcMar>
              <w:top w:w="51" w:type="dxa"/>
              <w:left w:w="72" w:type="dxa"/>
              <w:bottom w:w="0" w:type="dxa"/>
              <w:right w:w="25" w:type="dxa"/>
            </w:tcMar>
            <w:hideMark/>
          </w:tcPr>
          <w:p w14:paraId="09061243" w14:textId="77777777" w:rsidR="005821E2" w:rsidRPr="005821E2" w:rsidRDefault="005821E2" w:rsidP="005821E2">
            <w:pPr>
              <w:jc w:val="both"/>
            </w:pPr>
            <w:r w:rsidRPr="005821E2">
              <w:t>0,00/0,10</w:t>
            </w:r>
          </w:p>
        </w:tc>
      </w:tr>
    </w:tbl>
    <w:p w14:paraId="503D7D99" w14:textId="77777777" w:rsidR="005821E2" w:rsidRPr="005821E2" w:rsidRDefault="005821E2" w:rsidP="005821E2">
      <w:pPr>
        <w:jc w:val="both"/>
      </w:pPr>
      <w:r w:rsidRPr="005821E2">
        <w:t> </w:t>
      </w:r>
    </w:p>
    <w:p w14:paraId="59D86ACA" w14:textId="77777777" w:rsidR="005821E2" w:rsidRDefault="005821E2" w:rsidP="005821E2">
      <w:pPr>
        <w:jc w:val="both"/>
      </w:pPr>
    </w:p>
    <w:p w14:paraId="273A6DB5" w14:textId="77777777" w:rsidR="005821E2" w:rsidRDefault="005821E2" w:rsidP="005821E2">
      <w:pPr>
        <w:jc w:val="both"/>
      </w:pPr>
    </w:p>
    <w:p w14:paraId="1FD53C0F" w14:textId="5506B79E" w:rsidR="005821E2" w:rsidRDefault="005821E2" w:rsidP="005821E2">
      <w:pPr>
        <w:jc w:val="both"/>
      </w:pPr>
      <w:r>
        <w:lastRenderedPageBreak/>
        <w:t>Questão 1</w:t>
      </w:r>
      <w:r w:rsidR="006C0D83">
        <w:t xml:space="preserve">:  </w:t>
      </w:r>
      <w:r>
        <w:t>Poucos anos antes de morrer, Silas vendeu, no ano de 2012, por dois milhões de reais, a cobertura luxuosa onde residia. Com o dinheiro da venda, comprou, no mesmo ano, dois apartamentos em um mesmo prédio, cada um avaliado em trezentos mil reais, e mudou-se para um deles. Doou o outro imóvel para sua filha Laura e seu genro Hélio, local onde o casal passou a morar. Mesmo sem o consentimento dos demais herdeiros, Silas fez questão de registrar, na escritura de doação, que a liberalidade era feita em favor do casal, não mencionando, todavia, se seria ou não adiantamento de legítima.</w:t>
      </w:r>
      <w:r w:rsidR="006C0D83">
        <w:t xml:space="preserve"> </w:t>
      </w:r>
      <w:r>
        <w:t>Silas morreu no dia 20 de março de 2016 e deixou, além de Laura, dois outros herdeiros: Mauro e Noel, netos oriundos do casamento de um filho pré-morto, Wagner. O processo de inventário foi iniciado poucos dias depois de sua morte. Laura foi nomeada inventariante e apresentou as primeiras declarações em setembro de 2016, sem mencionar o imóvel em que residia.  Diante desses fatos, responda aos itens a seguir.</w:t>
      </w:r>
    </w:p>
    <w:p w14:paraId="657031B1" w14:textId="7DBEFBB7" w:rsidR="005821E2" w:rsidRDefault="005821E2" w:rsidP="006C0D83">
      <w:pPr>
        <w:jc w:val="both"/>
      </w:pPr>
      <w:r>
        <w:t>A)</w:t>
      </w:r>
      <w:r w:rsidR="006C0D83">
        <w:t xml:space="preserve"> </w:t>
      </w:r>
      <w:r>
        <w:t>A doação realizada é válida? (Valor: 0,65)</w:t>
      </w:r>
    </w:p>
    <w:p w14:paraId="3049A959" w14:textId="746C7765" w:rsidR="005821E2" w:rsidRPr="005821E2" w:rsidRDefault="006C0D83" w:rsidP="005821E2">
      <w:pPr>
        <w:jc w:val="both"/>
      </w:pPr>
      <w:r w:rsidRPr="006C0D83">
        <w:t xml:space="preserve">GABARITO: </w:t>
      </w:r>
      <w:r w:rsidR="005821E2" w:rsidRPr="005821E2">
        <w:t xml:space="preserve">A doação é válida. Em relação a </w:t>
      </w:r>
      <w:proofErr w:type="spellStart"/>
      <w:r w:rsidR="005821E2" w:rsidRPr="005821E2">
        <w:t>Helio</w:t>
      </w:r>
      <w:proofErr w:type="spellEnd"/>
      <w:r w:rsidR="005821E2" w:rsidRPr="005821E2">
        <w:t xml:space="preserve"> (genro), porque o valor do imóvel não ultrapassa a metade do patrimônio de Silas (Art. 549, CC) e, em relação a Laura (filha), porque traduz adiantamento de legítima e, pois, não necessita da anuência dos demais herdeiros (Art. 544 do CC). </w:t>
      </w:r>
    </w:p>
    <w:p w14:paraId="1C06C484" w14:textId="77777777" w:rsidR="005821E2" w:rsidRDefault="005821E2" w:rsidP="005821E2">
      <w:pPr>
        <w:jc w:val="both"/>
      </w:pPr>
    </w:p>
    <w:p w14:paraId="4AADCEE6" w14:textId="77777777" w:rsidR="005821E2" w:rsidRDefault="005821E2" w:rsidP="005821E2">
      <w:pPr>
        <w:jc w:val="both"/>
      </w:pPr>
      <w:r>
        <w:t>B)  Há fundamento no direito processual que obrigue Laura a declarar o imóvel? (Valor: 0,60)</w:t>
      </w:r>
    </w:p>
    <w:p w14:paraId="25109C62" w14:textId="2E04DD46" w:rsidR="005821E2" w:rsidRPr="005821E2" w:rsidRDefault="006C0D83" w:rsidP="005821E2">
      <w:pPr>
        <w:jc w:val="both"/>
      </w:pPr>
      <w:r w:rsidRPr="006C0D83">
        <w:t xml:space="preserve">GABARITO: </w:t>
      </w:r>
      <w:r w:rsidR="005821E2" w:rsidRPr="005821E2">
        <w:t>Laura está obrigada a declarar o bem que recebeu por liberalidade não só pelo fato de ser herdeira (Art. 639 do CPC/15), mas também por ser inventariante (Art. 620, inciso IV, do CPC/15).</w:t>
      </w:r>
    </w:p>
    <w:p w14:paraId="46587F06" w14:textId="03FAD9D0" w:rsidR="005821E2" w:rsidRPr="006C0D83" w:rsidRDefault="005821E2" w:rsidP="005821E2">
      <w:pPr>
        <w:jc w:val="both"/>
      </w:pPr>
      <w:r w:rsidRPr="005821E2">
        <w:t> </w:t>
      </w:r>
    </w:p>
    <w:tbl>
      <w:tblPr>
        <w:tblW w:w="0" w:type="auto"/>
        <w:tblInd w:w="-6" w:type="dxa"/>
        <w:tblCellMar>
          <w:left w:w="0" w:type="dxa"/>
          <w:right w:w="0" w:type="dxa"/>
        </w:tblCellMar>
        <w:tblLook w:val="04A0" w:firstRow="1" w:lastRow="0" w:firstColumn="1" w:lastColumn="0" w:noHBand="0" w:noVBand="1"/>
      </w:tblPr>
      <w:tblGrid>
        <w:gridCol w:w="5197"/>
        <w:gridCol w:w="3293"/>
      </w:tblGrid>
      <w:tr w:rsidR="005821E2" w:rsidRPr="005821E2" w14:paraId="19DDA20D" w14:textId="77777777">
        <w:tc>
          <w:tcPr>
            <w:tcW w:w="0" w:type="auto"/>
            <w:tcBorders>
              <w:top w:val="single" w:sz="8" w:space="0" w:color="auto"/>
              <w:left w:val="single" w:sz="8" w:space="0" w:color="auto"/>
              <w:bottom w:val="single" w:sz="8" w:space="0" w:color="auto"/>
              <w:right w:val="nil"/>
            </w:tcBorders>
            <w:shd w:val="clear" w:color="auto" w:fill="943634"/>
            <w:tcMar>
              <w:top w:w="53" w:type="dxa"/>
              <w:left w:w="66" w:type="dxa"/>
              <w:bottom w:w="0" w:type="dxa"/>
              <w:right w:w="19" w:type="dxa"/>
            </w:tcMar>
            <w:vAlign w:val="center"/>
            <w:hideMark/>
          </w:tcPr>
          <w:p w14:paraId="4C0DDF6C" w14:textId="77777777" w:rsidR="005821E2" w:rsidRPr="005821E2" w:rsidRDefault="005821E2" w:rsidP="005821E2">
            <w:pPr>
              <w:jc w:val="both"/>
            </w:pPr>
            <w:r w:rsidRPr="005821E2">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66" w:type="dxa"/>
              <w:bottom w:w="0" w:type="dxa"/>
              <w:right w:w="19" w:type="dxa"/>
            </w:tcMar>
            <w:vAlign w:val="center"/>
            <w:hideMark/>
          </w:tcPr>
          <w:p w14:paraId="4B410EB2" w14:textId="77777777" w:rsidR="005821E2" w:rsidRPr="005821E2" w:rsidRDefault="005821E2" w:rsidP="005821E2">
            <w:pPr>
              <w:jc w:val="both"/>
            </w:pPr>
            <w:r w:rsidRPr="005821E2">
              <w:rPr>
                <w:b/>
                <w:bCs/>
              </w:rPr>
              <w:t>PONTUAÇÃO</w:t>
            </w:r>
          </w:p>
        </w:tc>
      </w:tr>
      <w:tr w:rsidR="005821E2" w:rsidRPr="005821E2" w14:paraId="3B573C78" w14:textId="77777777">
        <w:tc>
          <w:tcPr>
            <w:tcW w:w="0" w:type="auto"/>
            <w:tcBorders>
              <w:top w:val="nil"/>
              <w:left w:val="single" w:sz="8" w:space="0" w:color="auto"/>
              <w:bottom w:val="single" w:sz="8" w:space="0" w:color="auto"/>
              <w:right w:val="single" w:sz="8" w:space="0" w:color="auto"/>
            </w:tcBorders>
            <w:tcMar>
              <w:top w:w="53" w:type="dxa"/>
              <w:left w:w="66" w:type="dxa"/>
              <w:bottom w:w="0" w:type="dxa"/>
              <w:right w:w="19" w:type="dxa"/>
            </w:tcMar>
            <w:hideMark/>
          </w:tcPr>
          <w:p w14:paraId="669E88F7" w14:textId="77777777" w:rsidR="005821E2" w:rsidRPr="005821E2" w:rsidRDefault="005821E2" w:rsidP="005821E2">
            <w:pPr>
              <w:jc w:val="both"/>
            </w:pPr>
            <w:r w:rsidRPr="005821E2">
              <w:t>A. A doação é válida, porque o valor do imóvel não ultrapassa a metade do patrimônio de Silas (0,25), cujo limite é disposto no Art. 549 do CC (0,10) e, porque, traduzindo adiantamento de legítima, não necessita da anuência dos demais herdeiros (0,20), conforme Art. 544 do CC (0,10).</w:t>
            </w:r>
          </w:p>
        </w:tc>
        <w:tc>
          <w:tcPr>
            <w:tcW w:w="0" w:type="auto"/>
            <w:tcBorders>
              <w:top w:val="nil"/>
              <w:left w:val="nil"/>
              <w:bottom w:val="single" w:sz="8" w:space="0" w:color="auto"/>
              <w:right w:val="single" w:sz="8" w:space="0" w:color="auto"/>
            </w:tcBorders>
            <w:tcMar>
              <w:top w:w="53" w:type="dxa"/>
              <w:left w:w="66" w:type="dxa"/>
              <w:bottom w:w="0" w:type="dxa"/>
              <w:right w:w="19" w:type="dxa"/>
            </w:tcMar>
            <w:vAlign w:val="center"/>
            <w:hideMark/>
          </w:tcPr>
          <w:p w14:paraId="6AF94711" w14:textId="77777777" w:rsidR="005821E2" w:rsidRPr="005821E2" w:rsidRDefault="005821E2" w:rsidP="005821E2">
            <w:pPr>
              <w:jc w:val="both"/>
            </w:pPr>
            <w:r w:rsidRPr="005821E2">
              <w:t>0,00/0,20/0,25/0,30/0,35/0,45/</w:t>
            </w:r>
          </w:p>
          <w:p w14:paraId="7828411F" w14:textId="77777777" w:rsidR="005821E2" w:rsidRPr="005821E2" w:rsidRDefault="005821E2" w:rsidP="005821E2">
            <w:pPr>
              <w:jc w:val="both"/>
            </w:pPr>
            <w:r w:rsidRPr="005821E2">
              <w:t>0,55/0,65</w:t>
            </w:r>
          </w:p>
        </w:tc>
      </w:tr>
      <w:tr w:rsidR="005821E2" w:rsidRPr="005821E2" w14:paraId="6D50D997" w14:textId="77777777">
        <w:tc>
          <w:tcPr>
            <w:tcW w:w="0" w:type="auto"/>
            <w:tcBorders>
              <w:top w:val="nil"/>
              <w:left w:val="single" w:sz="8" w:space="0" w:color="auto"/>
              <w:bottom w:val="single" w:sz="8" w:space="0" w:color="auto"/>
              <w:right w:val="single" w:sz="8" w:space="0" w:color="auto"/>
            </w:tcBorders>
            <w:tcMar>
              <w:top w:w="53" w:type="dxa"/>
              <w:left w:w="66" w:type="dxa"/>
              <w:bottom w:w="0" w:type="dxa"/>
              <w:right w:w="19" w:type="dxa"/>
            </w:tcMar>
            <w:hideMark/>
          </w:tcPr>
          <w:p w14:paraId="1CB7AB53" w14:textId="77777777" w:rsidR="005821E2" w:rsidRPr="005821E2" w:rsidRDefault="005821E2" w:rsidP="005821E2">
            <w:pPr>
              <w:jc w:val="both"/>
            </w:pPr>
            <w:r w:rsidRPr="005821E2">
              <w:t>B. Laura está obrigada a declarar o bem que recebeu por liberalidade por ser herdeira (0,50), conforme o Art. 639 do CPC/15 (0,10) </w:t>
            </w:r>
            <w:r w:rsidRPr="005821E2">
              <w:rPr>
                <w:b/>
                <w:bCs/>
                <w:u w:val="single"/>
              </w:rPr>
              <w:t>OU</w:t>
            </w:r>
            <w:r w:rsidRPr="005821E2">
              <w:t> por ser inventariante (0,50), conforme o Art. 620, inciso IV, do CPC/15 (0,10). </w:t>
            </w:r>
          </w:p>
        </w:tc>
        <w:tc>
          <w:tcPr>
            <w:tcW w:w="0" w:type="auto"/>
            <w:tcBorders>
              <w:top w:val="nil"/>
              <w:left w:val="nil"/>
              <w:bottom w:val="single" w:sz="8" w:space="0" w:color="auto"/>
              <w:right w:val="single" w:sz="8" w:space="0" w:color="auto"/>
            </w:tcBorders>
            <w:tcMar>
              <w:top w:w="53" w:type="dxa"/>
              <w:left w:w="66" w:type="dxa"/>
              <w:bottom w:w="0" w:type="dxa"/>
              <w:right w:w="19" w:type="dxa"/>
            </w:tcMar>
            <w:vAlign w:val="center"/>
            <w:hideMark/>
          </w:tcPr>
          <w:p w14:paraId="4D345FED" w14:textId="77777777" w:rsidR="005821E2" w:rsidRPr="005821E2" w:rsidRDefault="005821E2" w:rsidP="005821E2">
            <w:pPr>
              <w:jc w:val="both"/>
            </w:pPr>
            <w:r w:rsidRPr="005821E2">
              <w:t>0,00/0,50/0,60</w:t>
            </w:r>
          </w:p>
        </w:tc>
      </w:tr>
    </w:tbl>
    <w:p w14:paraId="22322EF4" w14:textId="77777777" w:rsidR="005821E2" w:rsidRDefault="005821E2" w:rsidP="005821E2">
      <w:pPr>
        <w:jc w:val="both"/>
      </w:pPr>
    </w:p>
    <w:p w14:paraId="60B71126" w14:textId="6AC1AA98" w:rsidR="005821E2" w:rsidRDefault="005821E2" w:rsidP="005821E2">
      <w:pPr>
        <w:jc w:val="both"/>
      </w:pPr>
      <w:r>
        <w:t>Questão 2</w:t>
      </w:r>
      <w:r w:rsidR="006C0D83">
        <w:t xml:space="preserve">: </w:t>
      </w:r>
      <w:r>
        <w:t>Em 10 de maio de 2016, Pedro, comprador, celebrou contrato de compra e venda com Bruno, vendedor, cujo objeto era uma motocicleta seminova (ano 2013), modelo X, pelo preço de R$ 10.000,00, pagos à vista.</w:t>
      </w:r>
      <w:r w:rsidR="006C0D83">
        <w:t xml:space="preserve"> </w:t>
      </w:r>
      <w:r>
        <w:t xml:space="preserve">Em setembro de 2016, Pedro foi citado para responder a ação na qual Anderson alegava ser proprietário da referida moto. Sem entender a situação e com receio de perder o bem, Pedro ligou imediatamente para Bruno, que lhe respondeu não conhecer Anderson e não ter nenhuma relação com o problema, pois se trata de fato posterior à venda da moto, </w:t>
      </w:r>
      <w:r>
        <w:lastRenderedPageBreak/>
        <w:t>ainda afirmando que “Pedro resolva diretamente com Anderson e procure seus direitos na justiça”.  Com base nos fatos narrados, responda aos itens a seguir.</w:t>
      </w:r>
    </w:p>
    <w:p w14:paraId="6A19BC2A" w14:textId="77777777" w:rsidR="005821E2" w:rsidRDefault="005821E2" w:rsidP="005821E2">
      <w:pPr>
        <w:jc w:val="both"/>
      </w:pPr>
      <w:r>
        <w:t>A)  Qual a responsabilidade de Bruno caso Pedro venha a perder o bem por sentença judicial? Fundamente com o instituto de Direito Civil adequado, indicando as verbas do ressarcimento devido. (Valor: 0,80)</w:t>
      </w:r>
    </w:p>
    <w:p w14:paraId="5C60C849" w14:textId="5F5D79DA" w:rsidR="005821E2" w:rsidRDefault="006C0D83" w:rsidP="005821E2">
      <w:pPr>
        <w:jc w:val="both"/>
      </w:pPr>
      <w:r w:rsidRPr="006C0D83">
        <w:t>GABARITO:</w:t>
      </w:r>
      <w:r w:rsidR="005821E2" w:rsidRPr="005821E2">
        <w:t> Bruno responde pela evicção, caso Pedro perca o bem (moto) por sentença judicial em favor de Anderson, conforme o Art. 447 do Código Civil. Além da restituição integral do preço, Pedro deverá ser indenizado por Bruno das despesas do contrato e de outros prejuízos que diretamente resultem da evicção, além das custas judiciais e dos honorários advocatícios, nos termos do Art. 450 do CC.</w:t>
      </w:r>
    </w:p>
    <w:p w14:paraId="07F0785B" w14:textId="77777777" w:rsidR="005821E2" w:rsidRDefault="005821E2" w:rsidP="005821E2">
      <w:pPr>
        <w:jc w:val="both"/>
      </w:pPr>
    </w:p>
    <w:p w14:paraId="2F45FAC0" w14:textId="77777777" w:rsidR="005821E2" w:rsidRDefault="005821E2" w:rsidP="005821E2">
      <w:pPr>
        <w:jc w:val="both"/>
      </w:pPr>
      <w:r>
        <w:t>B)  Como Pedro deverá proceder caso queira discutir a responsabilidade de Bruno na própria ação reivindicatória ajuizada por Anderson? Fundamente com o instituto de direito processual adequado. (Valor: 0,45)</w:t>
      </w:r>
    </w:p>
    <w:p w14:paraId="18AE8985" w14:textId="37767A4E" w:rsidR="005821E2" w:rsidRPr="005821E2" w:rsidRDefault="006C0D83" w:rsidP="005821E2">
      <w:pPr>
        <w:jc w:val="both"/>
      </w:pPr>
      <w:r w:rsidRPr="006C0D83">
        <w:t>GABARITO:</w:t>
      </w:r>
      <w:r>
        <w:t xml:space="preserve"> </w:t>
      </w:r>
      <w:r w:rsidR="005821E2" w:rsidRPr="005821E2">
        <w:t>Para exercer os direitos oriundos da evicção na própria ação reivindicatória, Pedro deverá denunciar-lhe a lide, nos termos do Art. 125, inciso I, do CPC/15.</w:t>
      </w:r>
    </w:p>
    <w:p w14:paraId="7ADE7DDE" w14:textId="573ECB77" w:rsidR="005821E2" w:rsidRPr="005821E2" w:rsidRDefault="005821E2" w:rsidP="005821E2">
      <w:pPr>
        <w:jc w:val="both"/>
        <w:rPr>
          <w:b/>
          <w:bCs/>
        </w:rPr>
      </w:pPr>
    </w:p>
    <w:tbl>
      <w:tblPr>
        <w:tblW w:w="0" w:type="auto"/>
        <w:tblCellMar>
          <w:left w:w="0" w:type="dxa"/>
          <w:right w:w="0" w:type="dxa"/>
        </w:tblCellMar>
        <w:tblLook w:val="04A0" w:firstRow="1" w:lastRow="0" w:firstColumn="1" w:lastColumn="0" w:noHBand="0" w:noVBand="1"/>
      </w:tblPr>
      <w:tblGrid>
        <w:gridCol w:w="6589"/>
        <w:gridCol w:w="1905"/>
      </w:tblGrid>
      <w:tr w:rsidR="005821E2" w:rsidRPr="005821E2" w14:paraId="31FB13C2" w14:textId="77777777">
        <w:tc>
          <w:tcPr>
            <w:tcW w:w="0" w:type="auto"/>
            <w:tcBorders>
              <w:top w:val="single" w:sz="8" w:space="0" w:color="auto"/>
              <w:left w:val="nil"/>
              <w:bottom w:val="single" w:sz="8" w:space="0" w:color="auto"/>
              <w:right w:val="nil"/>
            </w:tcBorders>
            <w:shd w:val="clear" w:color="auto" w:fill="943634"/>
            <w:tcMar>
              <w:top w:w="74" w:type="dxa"/>
              <w:left w:w="72" w:type="dxa"/>
              <w:bottom w:w="0" w:type="dxa"/>
              <w:right w:w="16" w:type="dxa"/>
            </w:tcMar>
            <w:vAlign w:val="center"/>
            <w:hideMark/>
          </w:tcPr>
          <w:p w14:paraId="448FA396" w14:textId="77777777" w:rsidR="005821E2" w:rsidRPr="005821E2" w:rsidRDefault="005821E2" w:rsidP="005821E2">
            <w:pPr>
              <w:jc w:val="both"/>
            </w:pPr>
            <w:r w:rsidRPr="005821E2">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74" w:type="dxa"/>
              <w:left w:w="72" w:type="dxa"/>
              <w:bottom w:w="0" w:type="dxa"/>
              <w:right w:w="16" w:type="dxa"/>
            </w:tcMar>
            <w:vAlign w:val="center"/>
            <w:hideMark/>
          </w:tcPr>
          <w:p w14:paraId="558387BC" w14:textId="77777777" w:rsidR="005821E2" w:rsidRPr="005821E2" w:rsidRDefault="005821E2" w:rsidP="005821E2">
            <w:pPr>
              <w:jc w:val="both"/>
            </w:pPr>
            <w:r w:rsidRPr="005821E2">
              <w:rPr>
                <w:b/>
                <w:bCs/>
              </w:rPr>
              <w:t>PONTUAÇÃO</w:t>
            </w:r>
          </w:p>
        </w:tc>
      </w:tr>
      <w:tr w:rsidR="005821E2" w:rsidRPr="005821E2" w14:paraId="2CBFE062" w14:textId="77777777">
        <w:tc>
          <w:tcPr>
            <w:tcW w:w="0" w:type="auto"/>
            <w:tcBorders>
              <w:top w:val="nil"/>
              <w:left w:val="single" w:sz="8" w:space="0" w:color="auto"/>
              <w:bottom w:val="single" w:sz="8" w:space="0" w:color="auto"/>
              <w:right w:val="single" w:sz="8" w:space="0" w:color="auto"/>
            </w:tcBorders>
            <w:tcMar>
              <w:top w:w="74" w:type="dxa"/>
              <w:left w:w="72" w:type="dxa"/>
              <w:bottom w:w="0" w:type="dxa"/>
              <w:right w:w="16" w:type="dxa"/>
            </w:tcMar>
            <w:vAlign w:val="center"/>
            <w:hideMark/>
          </w:tcPr>
          <w:p w14:paraId="0831D8DD" w14:textId="77777777" w:rsidR="005821E2" w:rsidRPr="005821E2" w:rsidRDefault="005821E2" w:rsidP="005821E2">
            <w:pPr>
              <w:jc w:val="both"/>
            </w:pPr>
            <w:r w:rsidRPr="005821E2">
              <w:t>A. Responsabilidade pela evicção (0,30), conforme o Art. 447 do CC (0,10). Além da restituição integral do preço, a responsabilidade do alienante inclui despesas do contrato e outros prejuízos que diretamente resultem da evicção, além das custas judiciais e dos honorários advocatícios (0,30), nos termos do Art. 450 do CC (0,10).</w:t>
            </w:r>
          </w:p>
        </w:tc>
        <w:tc>
          <w:tcPr>
            <w:tcW w:w="0" w:type="auto"/>
            <w:tcBorders>
              <w:top w:val="nil"/>
              <w:left w:val="nil"/>
              <w:bottom w:val="single" w:sz="8" w:space="0" w:color="auto"/>
              <w:right w:val="single" w:sz="8" w:space="0" w:color="auto"/>
            </w:tcBorders>
            <w:tcMar>
              <w:top w:w="74" w:type="dxa"/>
              <w:left w:w="72" w:type="dxa"/>
              <w:bottom w:w="0" w:type="dxa"/>
              <w:right w:w="16" w:type="dxa"/>
            </w:tcMar>
            <w:vAlign w:val="center"/>
            <w:hideMark/>
          </w:tcPr>
          <w:p w14:paraId="7B595286" w14:textId="77777777" w:rsidR="005821E2" w:rsidRPr="005821E2" w:rsidRDefault="005821E2" w:rsidP="005821E2">
            <w:pPr>
              <w:jc w:val="both"/>
            </w:pPr>
            <w:r w:rsidRPr="005821E2">
              <w:t>0,00/0,30/0,40/ 0,60/0,70/0,80</w:t>
            </w:r>
          </w:p>
        </w:tc>
      </w:tr>
      <w:tr w:rsidR="005821E2" w:rsidRPr="005821E2" w14:paraId="188FD3F7" w14:textId="77777777">
        <w:tc>
          <w:tcPr>
            <w:tcW w:w="0" w:type="auto"/>
            <w:tcBorders>
              <w:top w:val="nil"/>
              <w:left w:val="single" w:sz="8" w:space="0" w:color="auto"/>
              <w:bottom w:val="single" w:sz="8" w:space="0" w:color="auto"/>
              <w:right w:val="single" w:sz="8" w:space="0" w:color="auto"/>
            </w:tcBorders>
            <w:tcMar>
              <w:top w:w="74" w:type="dxa"/>
              <w:left w:w="72" w:type="dxa"/>
              <w:bottom w:w="0" w:type="dxa"/>
              <w:right w:w="16" w:type="dxa"/>
            </w:tcMar>
            <w:hideMark/>
          </w:tcPr>
          <w:p w14:paraId="580FD343" w14:textId="77777777" w:rsidR="005821E2" w:rsidRPr="005821E2" w:rsidRDefault="005821E2" w:rsidP="005821E2">
            <w:pPr>
              <w:jc w:val="both"/>
            </w:pPr>
            <w:r w:rsidRPr="005821E2">
              <w:t>B. Denunciação da lide (0,35), nos termos do Art. 125, inciso I, do CPC/15 (0,10).</w:t>
            </w:r>
          </w:p>
        </w:tc>
        <w:tc>
          <w:tcPr>
            <w:tcW w:w="0" w:type="auto"/>
            <w:tcBorders>
              <w:top w:val="nil"/>
              <w:left w:val="nil"/>
              <w:bottom w:val="single" w:sz="8" w:space="0" w:color="auto"/>
              <w:right w:val="single" w:sz="8" w:space="0" w:color="auto"/>
            </w:tcBorders>
            <w:tcMar>
              <w:top w:w="74" w:type="dxa"/>
              <w:left w:w="72" w:type="dxa"/>
              <w:bottom w:w="0" w:type="dxa"/>
              <w:right w:w="16" w:type="dxa"/>
            </w:tcMar>
            <w:hideMark/>
          </w:tcPr>
          <w:p w14:paraId="72288C00" w14:textId="77777777" w:rsidR="005821E2" w:rsidRPr="005821E2" w:rsidRDefault="005821E2" w:rsidP="005821E2">
            <w:pPr>
              <w:jc w:val="both"/>
            </w:pPr>
            <w:r w:rsidRPr="005821E2">
              <w:t>0,00/0,35/0,45</w:t>
            </w:r>
          </w:p>
        </w:tc>
      </w:tr>
    </w:tbl>
    <w:p w14:paraId="60C356DD" w14:textId="77777777" w:rsidR="005821E2" w:rsidRPr="005821E2" w:rsidRDefault="005821E2" w:rsidP="005821E2">
      <w:pPr>
        <w:jc w:val="both"/>
      </w:pPr>
      <w:r w:rsidRPr="005821E2">
        <w:t> </w:t>
      </w:r>
    </w:p>
    <w:p w14:paraId="756B6B01" w14:textId="1F506F62" w:rsidR="005821E2" w:rsidRPr="005821E2" w:rsidRDefault="005821E2" w:rsidP="005821E2">
      <w:pPr>
        <w:jc w:val="both"/>
      </w:pPr>
      <w:r w:rsidRPr="005821E2">
        <w:t> </w:t>
      </w:r>
      <w:r w:rsidRPr="005821E2">
        <w:rPr>
          <w:b/>
          <w:bCs/>
        </w:rPr>
        <w:t>Questão 3</w:t>
      </w:r>
      <w:r w:rsidR="006C0D83">
        <w:t xml:space="preserve">: </w:t>
      </w:r>
      <w:r w:rsidRPr="005821E2">
        <w:t>Jorge, menor com doze anos de idade, está sem receber a pensão alimentícia de seu pai, Carlos, há cinco anos, apesar de decisão judicial transitada em julgado. Jorge, representado por sua mãe, Fátima, promove ação de execução de alimentos, no valor de R$ 200.000,00 (duzentos mil reais), pelos alimentos pretéritos, devidamente corrigidos.</w:t>
      </w:r>
      <w:r w:rsidR="006C0D83">
        <w:t xml:space="preserve"> </w:t>
      </w:r>
      <w:r w:rsidRPr="005821E2">
        <w:t>Para pagamento da dívida, fora determinada penhora do imóvel em que Carlos e Carmem, sua atual companheira, residem. O imóvel, avaliado em R$300.000,00 (trezentos mil reais), é o único do casal e foi adquirido onerosamente por ambos após a constituição de união estável. </w:t>
      </w:r>
      <w:r w:rsidR="006C0D83">
        <w:t xml:space="preserve"> </w:t>
      </w:r>
      <w:r w:rsidRPr="005821E2">
        <w:t>Considerando que a penhora recaiu apenas sobre a parte que cabe a Carlos, responda aos itens a seguir.</w:t>
      </w:r>
    </w:p>
    <w:p w14:paraId="36482468" w14:textId="6BCDC343" w:rsidR="005821E2" w:rsidRPr="005821E2" w:rsidRDefault="005821E2" w:rsidP="005821E2">
      <w:pPr>
        <w:jc w:val="both"/>
      </w:pPr>
      <w:r w:rsidRPr="005821E2">
        <w:t> </w:t>
      </w:r>
      <w:proofErr w:type="gramStart"/>
      <w:r w:rsidRPr="005821E2">
        <w:t>A)Há</w:t>
      </w:r>
      <w:proofErr w:type="gramEnd"/>
      <w:r w:rsidRPr="005821E2">
        <w:t xml:space="preserve"> fundamento para penhora do bem descrito? </w:t>
      </w:r>
      <w:r w:rsidRPr="005821E2">
        <w:rPr>
          <w:b/>
          <w:bCs/>
        </w:rPr>
        <w:t>(Valor: 0,70)</w:t>
      </w:r>
    </w:p>
    <w:p w14:paraId="3F263232" w14:textId="38D870FE" w:rsidR="005821E2" w:rsidRPr="005821E2" w:rsidRDefault="005821E2" w:rsidP="005821E2">
      <w:pPr>
        <w:jc w:val="both"/>
      </w:pPr>
      <w:r w:rsidRPr="005821E2">
        <w:t> </w:t>
      </w:r>
      <w:r w:rsidR="006C0D83" w:rsidRPr="006C0D83">
        <w:t xml:space="preserve">GABARITO: </w:t>
      </w:r>
      <w:r w:rsidRPr="005821E2">
        <w:t>Embora seja bem de família, o imóvel pode ser penhorado e alienado, pois a execução de alimentos é exceção à regra geral de impenhorabilidade do imóvel destinado à residência, consoante dispõe o Art. 3º, inciso III, da Lei nº 8.009/90.</w:t>
      </w:r>
    </w:p>
    <w:p w14:paraId="08A98280" w14:textId="37607E55" w:rsidR="005821E2" w:rsidRDefault="005821E2" w:rsidP="005821E2">
      <w:pPr>
        <w:jc w:val="both"/>
      </w:pPr>
    </w:p>
    <w:p w14:paraId="21ABAB8C" w14:textId="77777777" w:rsidR="005821E2" w:rsidRPr="005821E2" w:rsidRDefault="005821E2" w:rsidP="005821E2">
      <w:pPr>
        <w:jc w:val="both"/>
      </w:pPr>
    </w:p>
    <w:p w14:paraId="6A001E5F" w14:textId="77777777" w:rsidR="005821E2" w:rsidRPr="005821E2" w:rsidRDefault="005821E2" w:rsidP="005821E2">
      <w:pPr>
        <w:jc w:val="both"/>
      </w:pPr>
      <w:r w:rsidRPr="005821E2">
        <w:lastRenderedPageBreak/>
        <w:t>B)  Como fica a situação de Carmem na hipótese de alienação judicial do bem descrito? </w:t>
      </w:r>
      <w:r w:rsidRPr="005821E2">
        <w:rPr>
          <w:b/>
          <w:bCs/>
        </w:rPr>
        <w:t>(Valor: 0,55)</w:t>
      </w:r>
    </w:p>
    <w:p w14:paraId="7BF8CE12" w14:textId="0C31618F" w:rsidR="005821E2" w:rsidRPr="006C0D83" w:rsidRDefault="006C0D83" w:rsidP="005821E2">
      <w:pPr>
        <w:jc w:val="both"/>
        <w:rPr>
          <w:i/>
          <w:iCs/>
        </w:rPr>
      </w:pPr>
      <w:r w:rsidRPr="006C0D83">
        <w:rPr>
          <w:i/>
          <w:iCs/>
        </w:rPr>
        <w:t xml:space="preserve">GABARITO: </w:t>
      </w:r>
      <w:r w:rsidR="005821E2" w:rsidRPr="005821E2">
        <w:t>Diante da indivisibilidade do bem, a quota-parte que cabe à Carmem será reservada no produto da alienação (Art. 843, </w:t>
      </w:r>
      <w:r w:rsidR="005821E2" w:rsidRPr="005821E2">
        <w:rPr>
          <w:i/>
          <w:iCs/>
        </w:rPr>
        <w:t>caput</w:t>
      </w:r>
      <w:r w:rsidR="005821E2" w:rsidRPr="005821E2">
        <w:t>, do CPC).</w:t>
      </w:r>
    </w:p>
    <w:p w14:paraId="1306732A" w14:textId="5D787307" w:rsidR="005821E2" w:rsidRPr="005821E2" w:rsidRDefault="005821E2" w:rsidP="005821E2">
      <w:pPr>
        <w:jc w:val="both"/>
        <w:rPr>
          <w:b/>
          <w:bCs/>
        </w:rPr>
      </w:pPr>
    </w:p>
    <w:tbl>
      <w:tblPr>
        <w:tblW w:w="0" w:type="auto"/>
        <w:tblCellMar>
          <w:left w:w="0" w:type="dxa"/>
          <w:right w:w="0" w:type="dxa"/>
        </w:tblCellMar>
        <w:tblLook w:val="04A0" w:firstRow="1" w:lastRow="0" w:firstColumn="1" w:lastColumn="0" w:noHBand="0" w:noVBand="1"/>
      </w:tblPr>
      <w:tblGrid>
        <w:gridCol w:w="6879"/>
        <w:gridCol w:w="1615"/>
      </w:tblGrid>
      <w:tr w:rsidR="005821E2" w:rsidRPr="005821E2" w14:paraId="252886F5" w14:textId="77777777">
        <w:tc>
          <w:tcPr>
            <w:tcW w:w="0" w:type="auto"/>
            <w:tcBorders>
              <w:top w:val="single" w:sz="8" w:space="0" w:color="auto"/>
              <w:left w:val="nil"/>
              <w:bottom w:val="single" w:sz="8" w:space="0" w:color="auto"/>
              <w:right w:val="nil"/>
            </w:tcBorders>
            <w:shd w:val="clear" w:color="auto" w:fill="943634"/>
            <w:tcMar>
              <w:top w:w="53" w:type="dxa"/>
              <w:left w:w="72" w:type="dxa"/>
              <w:bottom w:w="0" w:type="dxa"/>
              <w:right w:w="20" w:type="dxa"/>
            </w:tcMar>
            <w:vAlign w:val="center"/>
            <w:hideMark/>
          </w:tcPr>
          <w:p w14:paraId="797CD803" w14:textId="77777777" w:rsidR="005821E2" w:rsidRPr="005821E2" w:rsidRDefault="005821E2" w:rsidP="005821E2">
            <w:pPr>
              <w:jc w:val="both"/>
            </w:pPr>
            <w:r w:rsidRPr="005821E2">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72" w:type="dxa"/>
              <w:bottom w:w="0" w:type="dxa"/>
              <w:right w:w="20" w:type="dxa"/>
            </w:tcMar>
            <w:vAlign w:val="center"/>
            <w:hideMark/>
          </w:tcPr>
          <w:p w14:paraId="4577EF6A" w14:textId="77777777" w:rsidR="005821E2" w:rsidRPr="005821E2" w:rsidRDefault="005821E2" w:rsidP="005821E2">
            <w:pPr>
              <w:jc w:val="both"/>
            </w:pPr>
            <w:r w:rsidRPr="005821E2">
              <w:rPr>
                <w:b/>
                <w:bCs/>
              </w:rPr>
              <w:t>PONTUAÇÃO</w:t>
            </w:r>
          </w:p>
        </w:tc>
      </w:tr>
      <w:tr w:rsidR="005821E2" w:rsidRPr="005821E2" w14:paraId="20ED79A1"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1ECE297E" w14:textId="77777777" w:rsidR="005821E2" w:rsidRPr="005821E2" w:rsidRDefault="005821E2" w:rsidP="005821E2">
            <w:pPr>
              <w:jc w:val="both"/>
            </w:pPr>
            <w:r w:rsidRPr="005821E2">
              <w:t>A. Sim, porque aplica-se a exceção à regra geral de impenhorabilidade do imóvel destinado à residência, bem de família (0,60), consoante dispõe o Art. 3º, inciso III, da Lei nº 8.009/90 (0,10). </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661A7AFF" w14:textId="77777777" w:rsidR="005821E2" w:rsidRPr="005821E2" w:rsidRDefault="005821E2" w:rsidP="005821E2">
            <w:pPr>
              <w:jc w:val="both"/>
            </w:pPr>
            <w:r w:rsidRPr="005821E2">
              <w:t>0,00/0,60/0,70</w:t>
            </w:r>
          </w:p>
        </w:tc>
      </w:tr>
      <w:tr w:rsidR="005821E2" w:rsidRPr="005821E2" w14:paraId="4D6A46A3"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515FEC08" w14:textId="77777777" w:rsidR="005821E2" w:rsidRPr="005821E2" w:rsidRDefault="005821E2" w:rsidP="005821E2">
            <w:pPr>
              <w:jc w:val="both"/>
            </w:pPr>
            <w:r w:rsidRPr="005821E2">
              <w:t>B. Carmem fará jus à sua quota-parte, reservada no produto da alienação (0,45), conforme Art. 843, </w:t>
            </w:r>
            <w:r w:rsidRPr="005821E2">
              <w:rPr>
                <w:i/>
                <w:iCs/>
              </w:rPr>
              <w:t>caput</w:t>
            </w:r>
            <w:r w:rsidRPr="005821E2">
              <w:t>, do CPC (0,10).</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67EEC0E0" w14:textId="77777777" w:rsidR="005821E2" w:rsidRPr="005821E2" w:rsidRDefault="005821E2" w:rsidP="005821E2">
            <w:pPr>
              <w:jc w:val="both"/>
            </w:pPr>
            <w:r w:rsidRPr="005821E2">
              <w:t>0,00/0,45/0,55</w:t>
            </w:r>
          </w:p>
        </w:tc>
      </w:tr>
    </w:tbl>
    <w:p w14:paraId="77738F10" w14:textId="77777777" w:rsidR="005821E2" w:rsidRDefault="005821E2" w:rsidP="005821E2">
      <w:pPr>
        <w:jc w:val="both"/>
      </w:pPr>
    </w:p>
    <w:p w14:paraId="228112AE" w14:textId="70C4F394" w:rsidR="005821E2" w:rsidRDefault="005821E2" w:rsidP="005821E2">
      <w:pPr>
        <w:jc w:val="both"/>
      </w:pPr>
      <w:r>
        <w:t>Questão 4</w:t>
      </w:r>
      <w:r w:rsidR="006C0D83">
        <w:t xml:space="preserve">: </w:t>
      </w:r>
      <w:r>
        <w:t xml:space="preserve">Danilo ajuizou ação cominatória com pedido de reparação por danos morais contra a financeira Boa Vida S/A, alegando ter sofrido dano extrapatrimonial em virtude da negativação equivocada de seu nome nos bancos de dados de proteção ao crédito. Danilo sustenta e comprova que nunca atrasou uma parcela sequer do financiamento do seu veículo, motivo pelo qual a negativação de seu nome causou-lhe dano moral indenizável, requerendo, liminarmente, a retirada de seu nome dos bancos de dados e a condenação da ré à indenização por danos morais no valor de R$5.000,00. </w:t>
      </w:r>
      <w:r w:rsidR="006C0D83">
        <w:t xml:space="preserve"> </w:t>
      </w:r>
      <w:r>
        <w:t>O juiz concedeu tutela provisória com relação à obrigação de fazer, apesar de reconhecer que não foi vislumbrado perigo de dano ou risco ao resultado útil do processo; contudo, verificou que a petição inicial foi instruída com prova documental suficiente dos fatos constitutivos do direito do autor, não havendo oposição do réu capaz de gerar dúvida razoável. Em sentença, o juiz julgou parcialmente procedentes os pedidos, condenando a ré à obrigação de retirar o nome do autor dos bancos de dados de proteção ao crédito, confirmando a tutela provisória, mas julgando improcedente o pedido de indenização, pois se constatou que o autor já estava com o nome negativado em virtude de anotações legítimas de dívidas preexistentes com instituições diversas, sendo um devedor contumaz.  Em face do exposto, responda aos itens a seguir.</w:t>
      </w:r>
    </w:p>
    <w:p w14:paraId="4CB6746D" w14:textId="77777777" w:rsidR="005821E2" w:rsidRDefault="005821E2" w:rsidP="005821E2">
      <w:pPr>
        <w:jc w:val="both"/>
      </w:pPr>
      <w:r>
        <w:t>A)  À luz da jurisprudência dos tribunais superiores, é correta a decisão do juiz que julgou improcedente o pedido de indenização por danos morais? (Valor: 0,65)</w:t>
      </w:r>
    </w:p>
    <w:p w14:paraId="0F600EEB" w14:textId="109C46BA" w:rsidR="005821E2" w:rsidRPr="005821E2" w:rsidRDefault="006C0D83" w:rsidP="005821E2">
      <w:pPr>
        <w:jc w:val="both"/>
      </w:pPr>
      <w:r w:rsidRPr="006C0D83">
        <w:t xml:space="preserve">GABARITO: </w:t>
      </w:r>
      <w:r w:rsidR="005821E2" w:rsidRPr="005821E2">
        <w:t>Sim; com apoio na jurisprudência consolidada no Superior Tribunal de Justiça, “</w:t>
      </w:r>
      <w:r w:rsidR="005821E2" w:rsidRPr="005821E2">
        <w:rPr>
          <w:i/>
          <w:iCs/>
        </w:rPr>
        <w:t>da anotação irregular em cadastro de proteção ao crédito, não cabe indenização por dano moral quando preexistente legítima inscrição, ressalvado o direito ao cancelamento</w:t>
      </w:r>
      <w:r w:rsidR="005821E2" w:rsidRPr="005821E2">
        <w:t>”. É o que dispõe o teor da Súmula 385 do STJ. </w:t>
      </w:r>
    </w:p>
    <w:p w14:paraId="21724CE1" w14:textId="77777777" w:rsidR="006C0D83" w:rsidRDefault="006C0D83" w:rsidP="005821E2">
      <w:pPr>
        <w:jc w:val="both"/>
      </w:pPr>
    </w:p>
    <w:p w14:paraId="1DC1BD3F" w14:textId="5651F6B4" w:rsidR="005821E2" w:rsidRDefault="005821E2" w:rsidP="005821E2">
      <w:pPr>
        <w:jc w:val="both"/>
      </w:pPr>
      <w:r>
        <w:t>B)  Poderia o advogado requerer a tutela provisória mesmo constatando-se a inexistência de perigo de dano ou de risco ao resultado útil do processo? (Valor: 0,60)</w:t>
      </w:r>
    </w:p>
    <w:p w14:paraId="7471067D" w14:textId="0D123227" w:rsidR="005821E2" w:rsidRPr="005821E2" w:rsidRDefault="006C0D83" w:rsidP="005821E2">
      <w:pPr>
        <w:jc w:val="both"/>
      </w:pPr>
      <w:r w:rsidRPr="006C0D83">
        <w:t xml:space="preserve">GABARITO: </w:t>
      </w:r>
      <w:r w:rsidR="005821E2" w:rsidRPr="005821E2">
        <w:t>Sim. Trata-se de tutela provisória de evidência, que dispensa a prova de perigo de dano ou de risco ao resultado útil do processo, quando “</w:t>
      </w:r>
      <w:r w:rsidR="005821E2" w:rsidRPr="005821E2">
        <w:rPr>
          <w:i/>
          <w:iCs/>
        </w:rPr>
        <w:t>a petição inicial for instruída com prova documental suficiente dos fatos constitutivos do direito do autor, a que o réu não oponha prova capaz de gerar dúvida razoável</w:t>
      </w:r>
      <w:r w:rsidR="005821E2" w:rsidRPr="005821E2">
        <w:t>”, nos termos Art. 311, inciso IV, do CPC/15.</w:t>
      </w:r>
    </w:p>
    <w:p w14:paraId="2F12D861" w14:textId="77777777" w:rsidR="005821E2" w:rsidRPr="005821E2" w:rsidRDefault="005821E2" w:rsidP="005821E2">
      <w:pPr>
        <w:jc w:val="both"/>
      </w:pPr>
      <w:r w:rsidRPr="005821E2">
        <w:rPr>
          <w:b/>
          <w:bCs/>
        </w:rPr>
        <w:t> </w:t>
      </w:r>
    </w:p>
    <w:p w14:paraId="0C099F2A" w14:textId="33B415B9" w:rsidR="005821E2" w:rsidRPr="006C0D83" w:rsidRDefault="005821E2" w:rsidP="005821E2">
      <w:pPr>
        <w:jc w:val="both"/>
      </w:pPr>
      <w:r w:rsidRPr="005821E2">
        <w:lastRenderedPageBreak/>
        <w:t> </w:t>
      </w:r>
    </w:p>
    <w:tbl>
      <w:tblPr>
        <w:tblW w:w="0" w:type="auto"/>
        <w:tblCellMar>
          <w:left w:w="0" w:type="dxa"/>
          <w:right w:w="0" w:type="dxa"/>
        </w:tblCellMar>
        <w:tblLook w:val="04A0" w:firstRow="1" w:lastRow="0" w:firstColumn="1" w:lastColumn="0" w:noHBand="0" w:noVBand="1"/>
      </w:tblPr>
      <w:tblGrid>
        <w:gridCol w:w="6874"/>
        <w:gridCol w:w="1620"/>
      </w:tblGrid>
      <w:tr w:rsidR="005821E2" w:rsidRPr="005821E2" w14:paraId="779D7E59" w14:textId="77777777">
        <w:tc>
          <w:tcPr>
            <w:tcW w:w="0" w:type="auto"/>
            <w:tcBorders>
              <w:top w:val="single" w:sz="8" w:space="0" w:color="auto"/>
              <w:left w:val="nil"/>
              <w:bottom w:val="single" w:sz="8" w:space="0" w:color="auto"/>
              <w:right w:val="single" w:sz="8" w:space="0" w:color="auto"/>
            </w:tcBorders>
            <w:shd w:val="clear" w:color="auto" w:fill="943634"/>
            <w:tcMar>
              <w:top w:w="52" w:type="dxa"/>
              <w:left w:w="72" w:type="dxa"/>
              <w:bottom w:w="0" w:type="dxa"/>
              <w:right w:w="25" w:type="dxa"/>
            </w:tcMar>
            <w:vAlign w:val="center"/>
            <w:hideMark/>
          </w:tcPr>
          <w:p w14:paraId="682BCEEC" w14:textId="77777777" w:rsidR="005821E2" w:rsidRPr="005821E2" w:rsidRDefault="005821E2" w:rsidP="005821E2">
            <w:pPr>
              <w:jc w:val="both"/>
            </w:pPr>
            <w:r w:rsidRPr="005821E2">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2" w:type="dxa"/>
              <w:left w:w="72" w:type="dxa"/>
              <w:bottom w:w="0" w:type="dxa"/>
              <w:right w:w="25" w:type="dxa"/>
            </w:tcMar>
            <w:vAlign w:val="center"/>
            <w:hideMark/>
          </w:tcPr>
          <w:p w14:paraId="73AE0FB5" w14:textId="77777777" w:rsidR="005821E2" w:rsidRPr="005821E2" w:rsidRDefault="005821E2" w:rsidP="005821E2">
            <w:pPr>
              <w:jc w:val="both"/>
            </w:pPr>
            <w:r w:rsidRPr="005821E2">
              <w:rPr>
                <w:b/>
                <w:bCs/>
              </w:rPr>
              <w:t>PONTUAÇÃO</w:t>
            </w:r>
          </w:p>
        </w:tc>
      </w:tr>
      <w:tr w:rsidR="005821E2" w:rsidRPr="005821E2" w14:paraId="58083A92" w14:textId="77777777">
        <w:tc>
          <w:tcPr>
            <w:tcW w:w="0" w:type="auto"/>
            <w:tcBorders>
              <w:top w:val="nil"/>
              <w:left w:val="single" w:sz="8" w:space="0" w:color="auto"/>
              <w:bottom w:val="single" w:sz="8" w:space="0" w:color="auto"/>
              <w:right w:val="single" w:sz="8" w:space="0" w:color="auto"/>
            </w:tcBorders>
            <w:tcMar>
              <w:top w:w="52" w:type="dxa"/>
              <w:left w:w="72" w:type="dxa"/>
              <w:bottom w:w="0" w:type="dxa"/>
              <w:right w:w="25" w:type="dxa"/>
            </w:tcMar>
            <w:hideMark/>
          </w:tcPr>
          <w:p w14:paraId="7005163D" w14:textId="77777777" w:rsidR="005821E2" w:rsidRPr="005821E2" w:rsidRDefault="005821E2" w:rsidP="005821E2">
            <w:pPr>
              <w:jc w:val="both"/>
            </w:pPr>
            <w:r w:rsidRPr="005821E2">
              <w:t>A) Sim, pois há entendimento jurisprudencial consolidado segundo o qual a anotação irregular em banco de dados não gera dano moral indenizável quando preexistente legítima inscrição (0,55), conforme dispõe a Súmula 385 do STJ (0,10).</w:t>
            </w:r>
          </w:p>
        </w:tc>
        <w:tc>
          <w:tcPr>
            <w:tcW w:w="0" w:type="auto"/>
            <w:tcBorders>
              <w:top w:val="nil"/>
              <w:left w:val="nil"/>
              <w:bottom w:val="single" w:sz="8" w:space="0" w:color="auto"/>
              <w:right w:val="single" w:sz="8" w:space="0" w:color="auto"/>
            </w:tcBorders>
            <w:tcMar>
              <w:top w:w="52" w:type="dxa"/>
              <w:left w:w="72" w:type="dxa"/>
              <w:bottom w:w="0" w:type="dxa"/>
              <w:right w:w="25" w:type="dxa"/>
            </w:tcMar>
            <w:vAlign w:val="center"/>
            <w:hideMark/>
          </w:tcPr>
          <w:p w14:paraId="0E331062" w14:textId="77777777" w:rsidR="005821E2" w:rsidRPr="005821E2" w:rsidRDefault="005821E2" w:rsidP="005821E2">
            <w:pPr>
              <w:jc w:val="both"/>
            </w:pPr>
            <w:r w:rsidRPr="005821E2">
              <w:t>0,00/0,55/0,65</w:t>
            </w:r>
          </w:p>
        </w:tc>
      </w:tr>
      <w:tr w:rsidR="005821E2" w:rsidRPr="005821E2" w14:paraId="49892F44" w14:textId="77777777">
        <w:tc>
          <w:tcPr>
            <w:tcW w:w="0" w:type="auto"/>
            <w:tcBorders>
              <w:top w:val="nil"/>
              <w:left w:val="single" w:sz="8" w:space="0" w:color="auto"/>
              <w:bottom w:val="single" w:sz="8" w:space="0" w:color="auto"/>
              <w:right w:val="single" w:sz="8" w:space="0" w:color="auto"/>
            </w:tcBorders>
            <w:tcMar>
              <w:top w:w="52" w:type="dxa"/>
              <w:left w:w="72" w:type="dxa"/>
              <w:bottom w:w="0" w:type="dxa"/>
              <w:right w:w="25" w:type="dxa"/>
            </w:tcMar>
            <w:hideMark/>
          </w:tcPr>
          <w:p w14:paraId="4EBBCB01" w14:textId="77777777" w:rsidR="005821E2" w:rsidRPr="005821E2" w:rsidRDefault="005821E2" w:rsidP="005821E2">
            <w:pPr>
              <w:jc w:val="both"/>
            </w:pPr>
            <w:r w:rsidRPr="005821E2">
              <w:t>B) Sim, porque se trata de tutela provisória de evidência (0,50), nos termos do Art. 311, inciso IV, do CPC/15 (0,10).</w:t>
            </w:r>
          </w:p>
        </w:tc>
        <w:tc>
          <w:tcPr>
            <w:tcW w:w="0" w:type="auto"/>
            <w:tcBorders>
              <w:top w:val="nil"/>
              <w:left w:val="nil"/>
              <w:bottom w:val="single" w:sz="8" w:space="0" w:color="auto"/>
              <w:right w:val="single" w:sz="8" w:space="0" w:color="auto"/>
            </w:tcBorders>
            <w:tcMar>
              <w:top w:w="52" w:type="dxa"/>
              <w:left w:w="72" w:type="dxa"/>
              <w:bottom w:w="0" w:type="dxa"/>
              <w:right w:w="25" w:type="dxa"/>
            </w:tcMar>
            <w:vAlign w:val="center"/>
            <w:hideMark/>
          </w:tcPr>
          <w:p w14:paraId="1567C8A5" w14:textId="77777777" w:rsidR="005821E2" w:rsidRPr="005821E2" w:rsidRDefault="005821E2" w:rsidP="005821E2">
            <w:pPr>
              <w:jc w:val="both"/>
            </w:pPr>
            <w:r w:rsidRPr="005821E2">
              <w:t>0,00/0,50/0,60</w:t>
            </w:r>
          </w:p>
        </w:tc>
      </w:tr>
    </w:tbl>
    <w:p w14:paraId="74F5CE61" w14:textId="1EB23313" w:rsidR="005821E2" w:rsidRPr="009A4023" w:rsidRDefault="005821E2" w:rsidP="005821E2">
      <w:pPr>
        <w:jc w:val="both"/>
      </w:pPr>
      <w:r w:rsidRPr="005821E2">
        <w:t> </w:t>
      </w:r>
    </w:p>
    <w:sectPr w:rsidR="005821E2" w:rsidRPr="009A40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0A2CFC"/>
    <w:rsid w:val="001363FB"/>
    <w:rsid w:val="00140B58"/>
    <w:rsid w:val="00260761"/>
    <w:rsid w:val="002D31AC"/>
    <w:rsid w:val="00313790"/>
    <w:rsid w:val="00342B94"/>
    <w:rsid w:val="00376024"/>
    <w:rsid w:val="003E625A"/>
    <w:rsid w:val="004044DB"/>
    <w:rsid w:val="00434F1C"/>
    <w:rsid w:val="00461399"/>
    <w:rsid w:val="004A5872"/>
    <w:rsid w:val="004C0027"/>
    <w:rsid w:val="004E7566"/>
    <w:rsid w:val="005821E2"/>
    <w:rsid w:val="005F08EA"/>
    <w:rsid w:val="006365E5"/>
    <w:rsid w:val="0066022B"/>
    <w:rsid w:val="006B57A2"/>
    <w:rsid w:val="006C0D83"/>
    <w:rsid w:val="00747601"/>
    <w:rsid w:val="007D658B"/>
    <w:rsid w:val="00816E88"/>
    <w:rsid w:val="00850945"/>
    <w:rsid w:val="00865FB5"/>
    <w:rsid w:val="00882ACC"/>
    <w:rsid w:val="00944165"/>
    <w:rsid w:val="00977544"/>
    <w:rsid w:val="009A4023"/>
    <w:rsid w:val="009C0DD1"/>
    <w:rsid w:val="00A1068D"/>
    <w:rsid w:val="00A26923"/>
    <w:rsid w:val="00A87449"/>
    <w:rsid w:val="00A91086"/>
    <w:rsid w:val="00A94AD9"/>
    <w:rsid w:val="00AA107C"/>
    <w:rsid w:val="00AB69D4"/>
    <w:rsid w:val="00AB7B83"/>
    <w:rsid w:val="00AC1CBB"/>
    <w:rsid w:val="00AD6D71"/>
    <w:rsid w:val="00B313CD"/>
    <w:rsid w:val="00B60392"/>
    <w:rsid w:val="00B62DAC"/>
    <w:rsid w:val="00B75F9D"/>
    <w:rsid w:val="00B96E06"/>
    <w:rsid w:val="00BB7518"/>
    <w:rsid w:val="00BC7305"/>
    <w:rsid w:val="00C00D41"/>
    <w:rsid w:val="00C309A8"/>
    <w:rsid w:val="00C454E7"/>
    <w:rsid w:val="00C71470"/>
    <w:rsid w:val="00CF26C8"/>
    <w:rsid w:val="00D1560A"/>
    <w:rsid w:val="00D57786"/>
    <w:rsid w:val="00D744BA"/>
    <w:rsid w:val="00D7454A"/>
    <w:rsid w:val="00E15DC5"/>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2213</Words>
  <Characters>11955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4</cp:revision>
  <dcterms:created xsi:type="dcterms:W3CDTF">2026-08-25T00:51:00Z</dcterms:created>
  <dcterms:modified xsi:type="dcterms:W3CDTF">2026-08-26T00:16:00Z</dcterms:modified>
</cp:coreProperties>
</file>