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5B80E" w14:textId="6ACE5BF4" w:rsidR="009A4023" w:rsidRPr="00B62DAC" w:rsidRDefault="009A4023" w:rsidP="001F348B">
      <w:pPr>
        <w:jc w:val="both"/>
        <w:rPr>
          <w:b/>
          <w:bCs/>
        </w:rPr>
      </w:pPr>
      <w:r w:rsidRPr="00B62DAC">
        <w:rPr>
          <w:b/>
          <w:bCs/>
        </w:rPr>
        <w:t>XX</w:t>
      </w:r>
      <w:r w:rsidR="00BB7518">
        <w:rPr>
          <w:b/>
          <w:bCs/>
        </w:rPr>
        <w:t>I</w:t>
      </w:r>
      <w:r w:rsidRPr="00B62DAC">
        <w:rPr>
          <w:b/>
          <w:bCs/>
        </w:rPr>
        <w:t>V</w:t>
      </w:r>
    </w:p>
    <w:p w14:paraId="32D1E3B3" w14:textId="69CE664D" w:rsidR="001F348B" w:rsidRPr="001F348B" w:rsidRDefault="001F348B" w:rsidP="001F348B">
      <w:pPr>
        <w:jc w:val="both"/>
      </w:pPr>
      <w:r w:rsidRPr="001F348B">
        <w:t>Marilene procura você, como advogado(a), assustada, porque, há duas semanas, recebeu a visita de um Oficial de Justiça, que entregou a ela um Mandado de Citação e Intimação. O Mandado refere-se à ação de execução de título extrajudicial ajuizada por Breno, distribuída para a 1ª Vara Cível da Comarca da Capital do Estado de São Paulo, em que é pretendida a satisfação de crédito de R$ 15.000,00 (quinze mil reais), consubstanciado em instrumento particular de confissão de dívida, subscrito por Marilene e duas testemunhas, e vencido há mais de um mês. </w:t>
      </w:r>
      <w:r w:rsidR="000B7444">
        <w:t xml:space="preserve"> </w:t>
      </w:r>
      <w:r w:rsidRPr="001F348B">
        <w:t>Breno indicou à penhora valores que Marilene tem em três contas bancárias, um carro e o imóvel em que reside com sua família. Alegou ainda que a executada estaria buscando desfazer-se dos bens, razão pela qual o juízo deferiu de plano a indisponibilidade dos ativos financeiros de Marilene pelo sistema eletrônico gerido pela autoridade supervisora do sistema financeiro nacional. Pelo andamento processual no sítio do Tribunal de Justiça do Estado de São Paulo, você verifica que o mandado de citação e intimação positivo foi juntado aos autos há dois dias.</w:t>
      </w:r>
      <w:r w:rsidR="000B7444">
        <w:t xml:space="preserve"> </w:t>
      </w:r>
      <w:r w:rsidRPr="001F348B">
        <w:t xml:space="preserve">Marilene, muito nervosa, relata que manteve relacionamento com Breno, durante o qual ele insistiu que ela assinasse alguns papéis, informando se tratar de documentos necessários para que ele pudesse receber um benefício previdenciário acumulado. Ela, sem muito estudo, assinou, acreditando estar apenas declarando que ele, Breno, ainda não tinha recebido R$ 15.000,00 (quinze mil reais), aos quais alegava fazer jus frente ao INSS. Informa, inclusive, que uma das pessoas que assinou como testemunha é uma vizinha sua, que sabe que ele a induziu a acreditar que estava assinando apenas uma declaração para que ele obtivesse o benefício. Esclarece que, quando o relacionamento acabou, Breno se tornou agressivo e afirmou que tomaria dela as economias que sabia ter em uma poupança, mas, na época, ela achou que era uma ameaça vazia de um homem ressentido. Ela está especialmente preocupada em resguardar sua moradia e os valores que </w:t>
      </w:r>
      <w:proofErr w:type="gramStart"/>
      <w:r w:rsidRPr="001F348B">
        <w:t>tem</w:t>
      </w:r>
      <w:proofErr w:type="gramEnd"/>
      <w:r w:rsidRPr="001F348B">
        <w:t xml:space="preserve"> em uma de suas contas bancárias, que é uma poupança, que se tornou fundamental para a subsistência da família, já que sua mãe está se submetendo a um tratamento médico que pode vir a demandar a utilização dessas economias, informando que, em caso de necessidade, preferia ficar sem o carro que sem o dinheiro. Gostaria, todavia, de impugnar o processo executivo como um todo, para não mais sofrer nas mãos de Breno. </w:t>
      </w:r>
      <w:r w:rsidR="000B7444">
        <w:t xml:space="preserve"> </w:t>
      </w:r>
      <w:r w:rsidRPr="001F348B">
        <w:t>Na qualidade de advogado(a) de Marilene, elabore a defesa cabível voltada a impugnar a execução que foi ajuizada, desconsiderando a impugnação prevista no Art. 854, § 3º, do CPC/15. </w:t>
      </w:r>
      <w:r w:rsidRPr="001F348B">
        <w:rPr>
          <w:b/>
          <w:bCs/>
        </w:rPr>
        <w:t>(Valor: 5,00)</w:t>
      </w:r>
    </w:p>
    <w:p w14:paraId="07977241" w14:textId="77777777" w:rsidR="001F348B" w:rsidRDefault="001F348B" w:rsidP="001F348B">
      <w:pPr>
        <w:jc w:val="both"/>
      </w:pPr>
    </w:p>
    <w:p w14:paraId="42448AEE" w14:textId="6AC62881" w:rsidR="001F348B" w:rsidRPr="001F348B" w:rsidRDefault="001F348B" w:rsidP="001F348B">
      <w:pPr>
        <w:jc w:val="both"/>
      </w:pPr>
      <w:r w:rsidRPr="001F348B">
        <w:rPr>
          <w:b/>
          <w:bCs/>
        </w:rPr>
        <w:t>Espelho de Correção</w:t>
      </w:r>
      <w:r w:rsidR="000B7444">
        <w:t xml:space="preserve">: </w:t>
      </w:r>
      <w:r w:rsidRPr="001F348B">
        <w:t>Tendo em vista estar instaurado o processo executivo e que se busca impugnar a validade do negócio jurídico que gerou o título executivo e também os atos de penhora atuais e futuros, a medida cabível são os </w:t>
      </w:r>
      <w:r w:rsidRPr="001F348B">
        <w:rPr>
          <w:b/>
          <w:bCs/>
          <w:i/>
          <w:iCs/>
          <w:u w:val="single"/>
        </w:rPr>
        <w:t>Embargos do Devedor à Execução</w:t>
      </w:r>
      <w:r w:rsidRPr="001F348B">
        <w:t>, regulamentados no Art. 914 e seguintes do CPC/15. A petição deve ser endereçada ao mesmo juízo competente para a execução (1ª Vara Cível da Comarca da Capital do Estado de São Paulo), conforme o Art. 61 do CPC/15, identificando Marilene como embargante executada e Breno como embargado exequente. O prazo para apresentação dos embargos é de quinze dias conforme o Art. 915 do CPC/15. O prazo se conta da data da juntada do mandado, conforme o Art. 231 do CPC/15.</w:t>
      </w:r>
      <w:r w:rsidR="000B7444">
        <w:t xml:space="preserve"> </w:t>
      </w:r>
      <w:r w:rsidRPr="001F348B">
        <w:t xml:space="preserve">Os embargos devem pleitear a desconstituição do título executivo, com base no Art. 917, incisos I ou VI, do CPC/15, em razão de se </w:t>
      </w:r>
      <w:r w:rsidRPr="001F348B">
        <w:lastRenderedPageBreak/>
        <w:t>basear em negócio jurídico viciado por dolo, conforme o Art. 145 do Código Civil. Marilene foi induzida em erro por Breno, que a levou a crer que estava realizando uma declaração de que ele não tinha recebido um benefício previdenciário quando, na verdade, estava subscrevendo uma confissão de dívida. Tendo sido vítima de artifício para a celebração de negócio jurídico que, se ciente da realidade dos fatos, não realizaria, ela tem direito à anulação do negócio e, consequentemente, à desconstituição do título executivo em que se baseia o processo.</w:t>
      </w:r>
      <w:r w:rsidR="000B7444">
        <w:t xml:space="preserve"> </w:t>
      </w:r>
      <w:r w:rsidRPr="001F348B">
        <w:t xml:space="preserve">Os embargos devem pleitear também o reconhecimento da impenhorabilidade da conta poupança de Marilene, até o valor de 40 </w:t>
      </w:r>
      <w:proofErr w:type="gramStart"/>
      <w:r w:rsidRPr="001F348B">
        <w:t>salários mínimos</w:t>
      </w:r>
      <w:proofErr w:type="gramEnd"/>
      <w:r w:rsidRPr="001F348B">
        <w:t>, com base no Art. 833, inciso X, do CPC/15, bem como do imóvel em que reside com sua família, por se tratar de bem de família, com base no Art. 1º da Lei nº 8.009/90.</w:t>
      </w:r>
      <w:r w:rsidR="000B7444">
        <w:t xml:space="preserve"> </w:t>
      </w:r>
      <w:r w:rsidRPr="001F348B">
        <w:t>Deve ser pleiteada a suspensão do processo executivo, tendo em vista a presença dos requisitos do </w:t>
      </w:r>
      <w:r w:rsidRPr="001F348B">
        <w:rPr>
          <w:i/>
          <w:iCs/>
        </w:rPr>
        <w:t>periculum in mora</w:t>
      </w:r>
      <w:r w:rsidRPr="001F348B">
        <w:t>, decorrente da necessidade dos valores para o tratamento médico da mãe, bem como está garantido o juízo pela penhora dos valores existentes nas demais contas, conforme exigido no Art. 919, § 1º, do CPC/15.</w:t>
      </w:r>
      <w:r w:rsidR="000B7444">
        <w:t xml:space="preserve"> </w:t>
      </w:r>
      <w:r w:rsidRPr="001F348B">
        <w:t>Deve ser requerida a produção de prova testemunhal, para a oitiva de sua vizinha que pode corroborar a existência do vício no negócio, a juntada do comprovante de recolhimento de custas ou pedido de gratuidade de justiça e das cópias relevantes do processo executivo, já que os embargos constituirão autos apartados.</w:t>
      </w:r>
      <w:r w:rsidR="000B7444">
        <w:t xml:space="preserve"> </w:t>
      </w:r>
      <w:r w:rsidRPr="001F348B">
        <w:t>Deve se pedir a desconstituição do título executivo, com a anulação da confissão de dívida, bem como a extinção do processo executivo, com julgamento de mérito, dando-se à causa o valor exequendo, ou seja, R$15.000,00 (quinze mil reais).</w:t>
      </w:r>
      <w:r w:rsidR="000B7444">
        <w:t xml:space="preserve"> </w:t>
      </w:r>
      <w:r w:rsidRPr="001F348B">
        <w:t>Por fim, o fechamento, com a indicação de local, data, assinatura e inscrição OAB.</w:t>
      </w:r>
    </w:p>
    <w:p w14:paraId="5CAD85DF" w14:textId="373138E6" w:rsidR="001F348B" w:rsidRPr="000B7444" w:rsidRDefault="001F348B" w:rsidP="001F348B">
      <w:pPr>
        <w:jc w:val="both"/>
      </w:pPr>
      <w:r w:rsidRPr="001F348B">
        <w:t> </w:t>
      </w:r>
    </w:p>
    <w:tbl>
      <w:tblPr>
        <w:tblW w:w="0" w:type="auto"/>
        <w:tblCellMar>
          <w:left w:w="0" w:type="dxa"/>
          <w:right w:w="0" w:type="dxa"/>
        </w:tblCellMar>
        <w:tblLook w:val="04A0" w:firstRow="1" w:lastRow="0" w:firstColumn="1" w:lastColumn="0" w:noHBand="0" w:noVBand="1"/>
      </w:tblPr>
      <w:tblGrid>
        <w:gridCol w:w="5800"/>
        <w:gridCol w:w="2684"/>
      </w:tblGrid>
      <w:tr w:rsidR="001F348B" w:rsidRPr="001F348B" w14:paraId="25F0C9EB" w14:textId="77777777">
        <w:tc>
          <w:tcPr>
            <w:tcW w:w="0" w:type="auto"/>
            <w:tcBorders>
              <w:top w:val="single" w:sz="8" w:space="0" w:color="943634"/>
              <w:left w:val="single" w:sz="8" w:space="0" w:color="943634"/>
              <w:bottom w:val="single" w:sz="8" w:space="0" w:color="943634"/>
              <w:right w:val="single" w:sz="8" w:space="0" w:color="943634"/>
            </w:tcBorders>
            <w:shd w:val="clear" w:color="auto" w:fill="943634"/>
            <w:tcMar>
              <w:top w:w="49" w:type="dxa"/>
              <w:left w:w="67" w:type="dxa"/>
              <w:bottom w:w="0" w:type="dxa"/>
              <w:right w:w="25" w:type="dxa"/>
            </w:tcMar>
            <w:hideMark/>
          </w:tcPr>
          <w:p w14:paraId="07F59ED9" w14:textId="77777777" w:rsidR="001F348B" w:rsidRPr="001F348B" w:rsidRDefault="001F348B" w:rsidP="001F348B">
            <w:pPr>
              <w:jc w:val="both"/>
            </w:pPr>
            <w:r w:rsidRPr="001F348B">
              <w:rPr>
                <w:b/>
                <w:bCs/>
              </w:rPr>
              <w:t>ITEM </w:t>
            </w:r>
          </w:p>
        </w:tc>
        <w:tc>
          <w:tcPr>
            <w:tcW w:w="0" w:type="auto"/>
            <w:tcBorders>
              <w:top w:val="single" w:sz="8" w:space="0" w:color="auto"/>
              <w:left w:val="nil"/>
              <w:bottom w:val="single" w:sz="8" w:space="0" w:color="auto"/>
              <w:right w:val="single" w:sz="8" w:space="0" w:color="auto"/>
            </w:tcBorders>
            <w:shd w:val="clear" w:color="auto" w:fill="943634"/>
            <w:tcMar>
              <w:top w:w="49" w:type="dxa"/>
              <w:left w:w="67" w:type="dxa"/>
              <w:bottom w:w="0" w:type="dxa"/>
              <w:right w:w="25" w:type="dxa"/>
            </w:tcMar>
            <w:hideMark/>
          </w:tcPr>
          <w:p w14:paraId="74DB8E58" w14:textId="77777777" w:rsidR="001F348B" w:rsidRPr="001F348B" w:rsidRDefault="001F348B" w:rsidP="001F348B">
            <w:pPr>
              <w:jc w:val="both"/>
            </w:pPr>
            <w:r w:rsidRPr="001F348B">
              <w:rPr>
                <w:b/>
                <w:bCs/>
              </w:rPr>
              <w:t>PONTUAÇÃO</w:t>
            </w:r>
          </w:p>
        </w:tc>
      </w:tr>
      <w:tr w:rsidR="001F348B" w:rsidRPr="001F348B" w14:paraId="28258E7E" w14:textId="77777777">
        <w:tc>
          <w:tcPr>
            <w:tcW w:w="0" w:type="auto"/>
            <w:tcBorders>
              <w:top w:val="nil"/>
              <w:left w:val="single" w:sz="8" w:space="0" w:color="auto"/>
              <w:bottom w:val="single" w:sz="8" w:space="0" w:color="auto"/>
              <w:right w:val="single" w:sz="8" w:space="0" w:color="auto"/>
            </w:tcBorders>
            <w:shd w:val="clear" w:color="auto" w:fill="D9D9D9"/>
            <w:tcMar>
              <w:top w:w="49" w:type="dxa"/>
              <w:left w:w="67" w:type="dxa"/>
              <w:bottom w:w="0" w:type="dxa"/>
              <w:right w:w="25" w:type="dxa"/>
            </w:tcMar>
            <w:hideMark/>
          </w:tcPr>
          <w:p w14:paraId="217F1144" w14:textId="77777777" w:rsidR="001F348B" w:rsidRPr="001F348B" w:rsidRDefault="001F348B" w:rsidP="001F348B">
            <w:pPr>
              <w:jc w:val="both"/>
            </w:pPr>
            <w:r w:rsidRPr="001F348B">
              <w:t>I – </w:t>
            </w:r>
            <w:r w:rsidRPr="001F348B">
              <w:rPr>
                <w:b/>
                <w:bCs/>
              </w:rPr>
              <w:t>Endereçamento</w:t>
            </w:r>
            <w:r w:rsidRPr="001F348B">
              <w:t>: </w:t>
            </w:r>
          </w:p>
        </w:tc>
        <w:tc>
          <w:tcPr>
            <w:tcW w:w="0" w:type="auto"/>
            <w:tcBorders>
              <w:top w:val="nil"/>
              <w:left w:val="nil"/>
              <w:bottom w:val="single" w:sz="8" w:space="0" w:color="auto"/>
              <w:right w:val="single" w:sz="8" w:space="0" w:color="auto"/>
            </w:tcBorders>
            <w:shd w:val="clear" w:color="auto" w:fill="D9D9D9"/>
            <w:tcMar>
              <w:top w:w="49" w:type="dxa"/>
              <w:left w:w="67" w:type="dxa"/>
              <w:bottom w:w="0" w:type="dxa"/>
              <w:right w:w="25" w:type="dxa"/>
            </w:tcMar>
            <w:hideMark/>
          </w:tcPr>
          <w:p w14:paraId="22C62FD4" w14:textId="77777777" w:rsidR="001F348B" w:rsidRPr="001F348B" w:rsidRDefault="001F348B" w:rsidP="001F348B">
            <w:pPr>
              <w:jc w:val="both"/>
            </w:pPr>
            <w:r w:rsidRPr="001F348B">
              <w:t> </w:t>
            </w:r>
          </w:p>
        </w:tc>
      </w:tr>
      <w:tr w:rsidR="001F348B" w:rsidRPr="001F348B" w14:paraId="58A9ED2C" w14:textId="77777777">
        <w:tc>
          <w:tcPr>
            <w:tcW w:w="0" w:type="auto"/>
            <w:tcBorders>
              <w:top w:val="nil"/>
              <w:left w:val="single" w:sz="8" w:space="0" w:color="auto"/>
              <w:bottom w:val="single" w:sz="8" w:space="0" w:color="auto"/>
              <w:right w:val="single" w:sz="8" w:space="0" w:color="auto"/>
            </w:tcBorders>
            <w:tcMar>
              <w:top w:w="49" w:type="dxa"/>
              <w:left w:w="67" w:type="dxa"/>
              <w:bottom w:w="0" w:type="dxa"/>
              <w:right w:w="25" w:type="dxa"/>
            </w:tcMar>
            <w:hideMark/>
          </w:tcPr>
          <w:p w14:paraId="43D82D46" w14:textId="77777777" w:rsidR="001F348B" w:rsidRPr="001F348B" w:rsidRDefault="001F348B" w:rsidP="001F348B">
            <w:pPr>
              <w:jc w:val="both"/>
            </w:pPr>
            <w:r w:rsidRPr="001F348B">
              <w:t>a) a petição deve ser endereçada à </w:t>
            </w:r>
            <w:r w:rsidRPr="001F348B">
              <w:rPr>
                <w:b/>
                <w:bCs/>
              </w:rPr>
              <w:t>1ª Vara Cível</w:t>
            </w:r>
            <w:r w:rsidRPr="001F348B">
              <w:t> da Comarca da Capital do Estado de São Paulo (0,10).</w:t>
            </w:r>
          </w:p>
        </w:tc>
        <w:tc>
          <w:tcPr>
            <w:tcW w:w="0" w:type="auto"/>
            <w:tcBorders>
              <w:top w:val="nil"/>
              <w:left w:val="nil"/>
              <w:bottom w:val="single" w:sz="8" w:space="0" w:color="auto"/>
              <w:right w:val="single" w:sz="8" w:space="0" w:color="auto"/>
            </w:tcBorders>
            <w:tcMar>
              <w:top w:w="49" w:type="dxa"/>
              <w:left w:w="67" w:type="dxa"/>
              <w:bottom w:w="0" w:type="dxa"/>
              <w:right w:w="25" w:type="dxa"/>
            </w:tcMar>
            <w:vAlign w:val="center"/>
            <w:hideMark/>
          </w:tcPr>
          <w:p w14:paraId="574DA46E" w14:textId="77777777" w:rsidR="001F348B" w:rsidRPr="001F348B" w:rsidRDefault="001F348B" w:rsidP="001F348B">
            <w:pPr>
              <w:jc w:val="both"/>
            </w:pPr>
            <w:r w:rsidRPr="001F348B">
              <w:t>0,00/0,10</w:t>
            </w:r>
          </w:p>
        </w:tc>
      </w:tr>
      <w:tr w:rsidR="001F348B" w:rsidRPr="001F348B" w14:paraId="34880DBB" w14:textId="77777777">
        <w:tc>
          <w:tcPr>
            <w:tcW w:w="0" w:type="auto"/>
            <w:tcBorders>
              <w:top w:val="nil"/>
              <w:left w:val="single" w:sz="8" w:space="0" w:color="auto"/>
              <w:bottom w:val="single" w:sz="8" w:space="0" w:color="auto"/>
              <w:right w:val="single" w:sz="8" w:space="0" w:color="auto"/>
            </w:tcBorders>
            <w:tcMar>
              <w:top w:w="49" w:type="dxa"/>
              <w:left w:w="67" w:type="dxa"/>
              <w:bottom w:w="0" w:type="dxa"/>
              <w:right w:w="25" w:type="dxa"/>
            </w:tcMar>
            <w:hideMark/>
          </w:tcPr>
          <w:p w14:paraId="09FC8954" w14:textId="77777777" w:rsidR="001F348B" w:rsidRPr="001F348B" w:rsidRDefault="001F348B" w:rsidP="001F348B">
            <w:pPr>
              <w:jc w:val="both"/>
            </w:pPr>
            <w:r w:rsidRPr="001F348B">
              <w:t>b) Distribuição por Dependência (0,10). </w:t>
            </w:r>
          </w:p>
        </w:tc>
        <w:tc>
          <w:tcPr>
            <w:tcW w:w="0" w:type="auto"/>
            <w:tcBorders>
              <w:top w:val="nil"/>
              <w:left w:val="nil"/>
              <w:bottom w:val="single" w:sz="8" w:space="0" w:color="auto"/>
              <w:right w:val="single" w:sz="8" w:space="0" w:color="auto"/>
            </w:tcBorders>
            <w:tcMar>
              <w:top w:w="49" w:type="dxa"/>
              <w:left w:w="67" w:type="dxa"/>
              <w:bottom w:w="0" w:type="dxa"/>
              <w:right w:w="25" w:type="dxa"/>
            </w:tcMar>
            <w:hideMark/>
          </w:tcPr>
          <w:p w14:paraId="382D14E9" w14:textId="77777777" w:rsidR="001F348B" w:rsidRPr="001F348B" w:rsidRDefault="001F348B" w:rsidP="001F348B">
            <w:pPr>
              <w:jc w:val="both"/>
            </w:pPr>
            <w:r w:rsidRPr="001F348B">
              <w:t>0,00/0,10</w:t>
            </w:r>
          </w:p>
        </w:tc>
      </w:tr>
      <w:tr w:rsidR="001F348B" w:rsidRPr="001F348B" w14:paraId="58883437" w14:textId="77777777">
        <w:tc>
          <w:tcPr>
            <w:tcW w:w="0" w:type="auto"/>
            <w:tcBorders>
              <w:top w:val="nil"/>
              <w:left w:val="single" w:sz="8" w:space="0" w:color="auto"/>
              <w:bottom w:val="single" w:sz="8" w:space="0" w:color="auto"/>
              <w:right w:val="single" w:sz="8" w:space="0" w:color="auto"/>
            </w:tcBorders>
            <w:tcMar>
              <w:top w:w="49" w:type="dxa"/>
              <w:left w:w="67" w:type="dxa"/>
              <w:bottom w:w="0" w:type="dxa"/>
              <w:right w:w="25" w:type="dxa"/>
            </w:tcMar>
            <w:hideMark/>
          </w:tcPr>
          <w:p w14:paraId="628385AA" w14:textId="77777777" w:rsidR="001F348B" w:rsidRPr="001F348B" w:rsidRDefault="001F348B" w:rsidP="001F348B">
            <w:pPr>
              <w:jc w:val="both"/>
            </w:pPr>
            <w:r w:rsidRPr="001F348B">
              <w:t>II – </w:t>
            </w:r>
            <w:r w:rsidRPr="001F348B">
              <w:rPr>
                <w:b/>
                <w:bCs/>
              </w:rPr>
              <w:t>Nome e qualificação das partes</w:t>
            </w:r>
            <w:r w:rsidRPr="001F348B">
              <w:t xml:space="preserve">: embargante: </w:t>
            </w:r>
            <w:proofErr w:type="spellStart"/>
            <w:proofErr w:type="gramStart"/>
            <w:r w:rsidRPr="001F348B">
              <w:t>Marilene,qualificação</w:t>
            </w:r>
            <w:proofErr w:type="spellEnd"/>
            <w:proofErr w:type="gramEnd"/>
            <w:r w:rsidRPr="001F348B">
              <w:t> (0,10</w:t>
            </w:r>
            <w:proofErr w:type="gramStart"/>
            <w:r w:rsidRPr="001F348B">
              <w:t>);embargado</w:t>
            </w:r>
            <w:proofErr w:type="gramEnd"/>
            <w:r w:rsidRPr="001F348B">
              <w:t>: Breno, qualificação (0,10)</w:t>
            </w:r>
          </w:p>
        </w:tc>
        <w:tc>
          <w:tcPr>
            <w:tcW w:w="0" w:type="auto"/>
            <w:tcBorders>
              <w:top w:val="nil"/>
              <w:left w:val="nil"/>
              <w:bottom w:val="single" w:sz="8" w:space="0" w:color="auto"/>
              <w:right w:val="single" w:sz="8" w:space="0" w:color="auto"/>
            </w:tcBorders>
            <w:tcMar>
              <w:top w:w="49" w:type="dxa"/>
              <w:left w:w="67" w:type="dxa"/>
              <w:bottom w:w="0" w:type="dxa"/>
              <w:right w:w="25" w:type="dxa"/>
            </w:tcMar>
            <w:vAlign w:val="center"/>
            <w:hideMark/>
          </w:tcPr>
          <w:p w14:paraId="6AABB694" w14:textId="77777777" w:rsidR="001F348B" w:rsidRPr="001F348B" w:rsidRDefault="001F348B" w:rsidP="001F348B">
            <w:pPr>
              <w:jc w:val="both"/>
            </w:pPr>
            <w:r w:rsidRPr="001F348B">
              <w:t>0,00/0,10/0,20</w:t>
            </w:r>
          </w:p>
        </w:tc>
      </w:tr>
      <w:tr w:rsidR="001F348B" w:rsidRPr="001F348B" w14:paraId="3419272B" w14:textId="77777777">
        <w:tc>
          <w:tcPr>
            <w:tcW w:w="0" w:type="auto"/>
            <w:tcBorders>
              <w:top w:val="nil"/>
              <w:left w:val="single" w:sz="8" w:space="0" w:color="auto"/>
              <w:bottom w:val="single" w:sz="8" w:space="0" w:color="auto"/>
              <w:right w:val="single" w:sz="8" w:space="0" w:color="auto"/>
            </w:tcBorders>
            <w:shd w:val="clear" w:color="auto" w:fill="D9D9D9"/>
            <w:tcMar>
              <w:top w:w="49" w:type="dxa"/>
              <w:left w:w="67" w:type="dxa"/>
              <w:bottom w:w="0" w:type="dxa"/>
              <w:right w:w="25" w:type="dxa"/>
            </w:tcMar>
            <w:hideMark/>
          </w:tcPr>
          <w:p w14:paraId="7C4803C2" w14:textId="77777777" w:rsidR="001F348B" w:rsidRPr="001F348B" w:rsidRDefault="001F348B" w:rsidP="001F348B">
            <w:pPr>
              <w:jc w:val="both"/>
            </w:pPr>
            <w:r w:rsidRPr="001F348B">
              <w:t>III – </w:t>
            </w:r>
            <w:r w:rsidRPr="001F348B">
              <w:rPr>
                <w:b/>
                <w:bCs/>
              </w:rPr>
              <w:t>Tempestividade:</w:t>
            </w:r>
          </w:p>
        </w:tc>
        <w:tc>
          <w:tcPr>
            <w:tcW w:w="0" w:type="auto"/>
            <w:tcBorders>
              <w:top w:val="nil"/>
              <w:left w:val="nil"/>
              <w:bottom w:val="single" w:sz="8" w:space="0" w:color="auto"/>
              <w:right w:val="single" w:sz="8" w:space="0" w:color="auto"/>
            </w:tcBorders>
            <w:shd w:val="clear" w:color="auto" w:fill="D9D9D9"/>
            <w:tcMar>
              <w:top w:w="49" w:type="dxa"/>
              <w:left w:w="67" w:type="dxa"/>
              <w:bottom w:w="0" w:type="dxa"/>
              <w:right w:w="25" w:type="dxa"/>
            </w:tcMar>
            <w:hideMark/>
          </w:tcPr>
          <w:p w14:paraId="71C52B40" w14:textId="77777777" w:rsidR="001F348B" w:rsidRPr="001F348B" w:rsidRDefault="001F348B" w:rsidP="001F348B">
            <w:pPr>
              <w:jc w:val="both"/>
            </w:pPr>
            <w:r w:rsidRPr="001F348B">
              <w:t> </w:t>
            </w:r>
          </w:p>
        </w:tc>
      </w:tr>
      <w:tr w:rsidR="001F348B" w:rsidRPr="001F348B" w14:paraId="2C486C65" w14:textId="77777777">
        <w:tc>
          <w:tcPr>
            <w:tcW w:w="0" w:type="auto"/>
            <w:tcBorders>
              <w:top w:val="nil"/>
              <w:left w:val="single" w:sz="8" w:space="0" w:color="auto"/>
              <w:bottom w:val="single" w:sz="8" w:space="0" w:color="auto"/>
              <w:right w:val="single" w:sz="8" w:space="0" w:color="auto"/>
            </w:tcBorders>
            <w:tcMar>
              <w:top w:w="49" w:type="dxa"/>
              <w:left w:w="67" w:type="dxa"/>
              <w:bottom w:w="0" w:type="dxa"/>
              <w:right w:w="25" w:type="dxa"/>
            </w:tcMar>
            <w:hideMark/>
          </w:tcPr>
          <w:p w14:paraId="44006C45" w14:textId="77777777" w:rsidR="001F348B" w:rsidRPr="001F348B" w:rsidRDefault="001F348B" w:rsidP="001F348B">
            <w:pPr>
              <w:jc w:val="both"/>
            </w:pPr>
            <w:r w:rsidRPr="001F348B">
              <w:t>a) indicar que a petição foi protocolada no prazo de 15 (quinze) dias (0,10), conforme o Art. 915 do CPC/15 (0,10)</w:t>
            </w:r>
          </w:p>
        </w:tc>
        <w:tc>
          <w:tcPr>
            <w:tcW w:w="0" w:type="auto"/>
            <w:tcBorders>
              <w:top w:val="nil"/>
              <w:left w:val="nil"/>
              <w:bottom w:val="single" w:sz="8" w:space="0" w:color="auto"/>
              <w:right w:val="single" w:sz="8" w:space="0" w:color="auto"/>
            </w:tcBorders>
            <w:tcMar>
              <w:top w:w="49" w:type="dxa"/>
              <w:left w:w="67" w:type="dxa"/>
              <w:bottom w:w="0" w:type="dxa"/>
              <w:right w:w="25" w:type="dxa"/>
            </w:tcMar>
            <w:vAlign w:val="center"/>
            <w:hideMark/>
          </w:tcPr>
          <w:p w14:paraId="5F467020" w14:textId="77777777" w:rsidR="001F348B" w:rsidRPr="001F348B" w:rsidRDefault="001F348B" w:rsidP="001F348B">
            <w:pPr>
              <w:jc w:val="both"/>
            </w:pPr>
            <w:r w:rsidRPr="001F348B">
              <w:t>0,00/0,10/0,20</w:t>
            </w:r>
          </w:p>
        </w:tc>
      </w:tr>
      <w:tr w:rsidR="001F348B" w:rsidRPr="001F348B" w14:paraId="2CA8BD0C" w14:textId="77777777">
        <w:tc>
          <w:tcPr>
            <w:tcW w:w="0" w:type="auto"/>
            <w:tcBorders>
              <w:top w:val="nil"/>
              <w:left w:val="single" w:sz="8" w:space="0" w:color="auto"/>
              <w:bottom w:val="single" w:sz="8" w:space="0" w:color="auto"/>
              <w:right w:val="single" w:sz="8" w:space="0" w:color="auto"/>
            </w:tcBorders>
            <w:tcMar>
              <w:top w:w="49" w:type="dxa"/>
              <w:left w:w="67" w:type="dxa"/>
              <w:bottom w:w="0" w:type="dxa"/>
              <w:right w:w="25" w:type="dxa"/>
            </w:tcMar>
            <w:hideMark/>
          </w:tcPr>
          <w:p w14:paraId="71732053" w14:textId="77777777" w:rsidR="001F348B" w:rsidRPr="001F348B" w:rsidRDefault="001F348B" w:rsidP="001F348B">
            <w:pPr>
              <w:jc w:val="both"/>
            </w:pPr>
            <w:r w:rsidRPr="001F348B">
              <w:t>b) O prazo deve ser contado da data da juntada aos autos do mandado de citação (0,10), conforme o Art. 231 do CPC/15 (0,10)</w:t>
            </w:r>
          </w:p>
        </w:tc>
        <w:tc>
          <w:tcPr>
            <w:tcW w:w="0" w:type="auto"/>
            <w:tcBorders>
              <w:top w:val="nil"/>
              <w:left w:val="nil"/>
              <w:bottom w:val="single" w:sz="8" w:space="0" w:color="auto"/>
              <w:right w:val="single" w:sz="8" w:space="0" w:color="auto"/>
            </w:tcBorders>
            <w:tcMar>
              <w:top w:w="49" w:type="dxa"/>
              <w:left w:w="67" w:type="dxa"/>
              <w:bottom w:w="0" w:type="dxa"/>
              <w:right w:w="25" w:type="dxa"/>
            </w:tcMar>
            <w:vAlign w:val="center"/>
            <w:hideMark/>
          </w:tcPr>
          <w:p w14:paraId="68AC14D9" w14:textId="77777777" w:rsidR="001F348B" w:rsidRPr="001F348B" w:rsidRDefault="001F348B" w:rsidP="001F348B">
            <w:pPr>
              <w:jc w:val="both"/>
            </w:pPr>
            <w:r w:rsidRPr="001F348B">
              <w:t>0,00/0,10/0,20</w:t>
            </w:r>
          </w:p>
        </w:tc>
      </w:tr>
      <w:tr w:rsidR="001F348B" w:rsidRPr="001F348B" w14:paraId="21411056" w14:textId="77777777">
        <w:tc>
          <w:tcPr>
            <w:tcW w:w="0" w:type="auto"/>
            <w:tcBorders>
              <w:top w:val="nil"/>
              <w:left w:val="single" w:sz="8" w:space="0" w:color="auto"/>
              <w:bottom w:val="single" w:sz="8" w:space="0" w:color="auto"/>
              <w:right w:val="single" w:sz="8" w:space="0" w:color="auto"/>
            </w:tcBorders>
            <w:shd w:val="clear" w:color="auto" w:fill="D9D9D9"/>
            <w:tcMar>
              <w:top w:w="49" w:type="dxa"/>
              <w:left w:w="67" w:type="dxa"/>
              <w:bottom w:w="0" w:type="dxa"/>
              <w:right w:w="25" w:type="dxa"/>
            </w:tcMar>
            <w:hideMark/>
          </w:tcPr>
          <w:p w14:paraId="606944A2" w14:textId="77777777" w:rsidR="001F348B" w:rsidRPr="001F348B" w:rsidRDefault="001F348B" w:rsidP="001F348B">
            <w:pPr>
              <w:jc w:val="both"/>
            </w:pPr>
            <w:r w:rsidRPr="001F348B">
              <w:rPr>
                <w:b/>
                <w:bCs/>
              </w:rPr>
              <w:t>IV – Fundamentação Jurídica/Legal: </w:t>
            </w:r>
          </w:p>
        </w:tc>
        <w:tc>
          <w:tcPr>
            <w:tcW w:w="0" w:type="auto"/>
            <w:tcBorders>
              <w:top w:val="nil"/>
              <w:left w:val="nil"/>
              <w:bottom w:val="single" w:sz="8" w:space="0" w:color="auto"/>
              <w:right w:val="single" w:sz="8" w:space="0" w:color="auto"/>
            </w:tcBorders>
            <w:shd w:val="clear" w:color="auto" w:fill="D9D9D9"/>
            <w:tcMar>
              <w:top w:w="49" w:type="dxa"/>
              <w:left w:w="67" w:type="dxa"/>
              <w:bottom w:w="0" w:type="dxa"/>
              <w:right w:w="25" w:type="dxa"/>
            </w:tcMar>
            <w:hideMark/>
          </w:tcPr>
          <w:p w14:paraId="417ADB6F" w14:textId="77777777" w:rsidR="001F348B" w:rsidRPr="001F348B" w:rsidRDefault="001F348B" w:rsidP="001F348B">
            <w:pPr>
              <w:jc w:val="both"/>
            </w:pPr>
            <w:r w:rsidRPr="001F348B">
              <w:t> </w:t>
            </w:r>
          </w:p>
        </w:tc>
      </w:tr>
      <w:tr w:rsidR="001F348B" w:rsidRPr="001F348B" w14:paraId="5C5AE169" w14:textId="77777777">
        <w:tc>
          <w:tcPr>
            <w:tcW w:w="0" w:type="auto"/>
            <w:tcBorders>
              <w:top w:val="nil"/>
              <w:left w:val="single" w:sz="8" w:space="0" w:color="auto"/>
              <w:bottom w:val="single" w:sz="8" w:space="0" w:color="auto"/>
              <w:right w:val="single" w:sz="8" w:space="0" w:color="auto"/>
            </w:tcBorders>
            <w:tcMar>
              <w:top w:w="49" w:type="dxa"/>
              <w:left w:w="67" w:type="dxa"/>
              <w:bottom w:w="0" w:type="dxa"/>
              <w:right w:w="25" w:type="dxa"/>
            </w:tcMar>
            <w:hideMark/>
          </w:tcPr>
          <w:p w14:paraId="581C7301" w14:textId="77777777" w:rsidR="001F348B" w:rsidRPr="001F348B" w:rsidRDefault="001F348B" w:rsidP="001F348B">
            <w:pPr>
              <w:jc w:val="both"/>
            </w:pPr>
            <w:r w:rsidRPr="001F348B">
              <w:t>a) demonstração da necessidade de desconstituição do título executivo (0,20), com base no Art. 917, incisos I ou VI, do CPC/15 (0,10) </w:t>
            </w:r>
          </w:p>
        </w:tc>
        <w:tc>
          <w:tcPr>
            <w:tcW w:w="0" w:type="auto"/>
            <w:tcBorders>
              <w:top w:val="nil"/>
              <w:left w:val="nil"/>
              <w:bottom w:val="single" w:sz="8" w:space="0" w:color="auto"/>
              <w:right w:val="single" w:sz="8" w:space="0" w:color="auto"/>
            </w:tcBorders>
            <w:tcMar>
              <w:top w:w="49" w:type="dxa"/>
              <w:left w:w="67" w:type="dxa"/>
              <w:bottom w:w="0" w:type="dxa"/>
              <w:right w:w="25" w:type="dxa"/>
            </w:tcMar>
            <w:vAlign w:val="center"/>
            <w:hideMark/>
          </w:tcPr>
          <w:p w14:paraId="5674DD4E" w14:textId="77777777" w:rsidR="001F348B" w:rsidRPr="001F348B" w:rsidRDefault="001F348B" w:rsidP="001F348B">
            <w:pPr>
              <w:jc w:val="both"/>
            </w:pPr>
            <w:r w:rsidRPr="001F348B">
              <w:t>0,00/0,20/0,30</w:t>
            </w:r>
          </w:p>
        </w:tc>
      </w:tr>
      <w:tr w:rsidR="001F348B" w:rsidRPr="001F348B" w14:paraId="30F1A98C" w14:textId="77777777">
        <w:tc>
          <w:tcPr>
            <w:tcW w:w="0" w:type="auto"/>
            <w:tcBorders>
              <w:top w:val="nil"/>
              <w:left w:val="single" w:sz="8" w:space="0" w:color="auto"/>
              <w:bottom w:val="single" w:sz="8" w:space="0" w:color="auto"/>
              <w:right w:val="single" w:sz="8" w:space="0" w:color="auto"/>
            </w:tcBorders>
            <w:tcMar>
              <w:top w:w="49" w:type="dxa"/>
              <w:left w:w="67" w:type="dxa"/>
              <w:bottom w:w="0" w:type="dxa"/>
              <w:right w:w="25" w:type="dxa"/>
            </w:tcMar>
            <w:hideMark/>
          </w:tcPr>
          <w:p w14:paraId="25865E73" w14:textId="77777777" w:rsidR="001F348B" w:rsidRPr="001F348B" w:rsidRDefault="001F348B" w:rsidP="001F348B">
            <w:pPr>
              <w:jc w:val="both"/>
            </w:pPr>
            <w:r w:rsidRPr="001F348B">
              <w:t>b) existência de vício de consentimento (dolo) (0,40), conforme o Art. 145 do Código</w:t>
            </w:r>
          </w:p>
          <w:p w14:paraId="2EE22B6F" w14:textId="77777777" w:rsidR="001F348B" w:rsidRPr="001F348B" w:rsidRDefault="001F348B" w:rsidP="001F348B">
            <w:pPr>
              <w:jc w:val="both"/>
            </w:pPr>
            <w:r w:rsidRPr="001F348B">
              <w:lastRenderedPageBreak/>
              <w:t>Civil (0,10)</w:t>
            </w:r>
          </w:p>
        </w:tc>
        <w:tc>
          <w:tcPr>
            <w:tcW w:w="0" w:type="auto"/>
            <w:tcBorders>
              <w:top w:val="nil"/>
              <w:left w:val="nil"/>
              <w:bottom w:val="single" w:sz="8" w:space="0" w:color="auto"/>
              <w:right w:val="single" w:sz="8" w:space="0" w:color="auto"/>
            </w:tcBorders>
            <w:tcMar>
              <w:top w:w="49" w:type="dxa"/>
              <w:left w:w="67" w:type="dxa"/>
              <w:bottom w:w="0" w:type="dxa"/>
              <w:right w:w="25" w:type="dxa"/>
            </w:tcMar>
            <w:vAlign w:val="center"/>
            <w:hideMark/>
          </w:tcPr>
          <w:p w14:paraId="35A90A01" w14:textId="77777777" w:rsidR="001F348B" w:rsidRPr="001F348B" w:rsidRDefault="001F348B" w:rsidP="001F348B">
            <w:pPr>
              <w:jc w:val="both"/>
            </w:pPr>
            <w:r w:rsidRPr="001F348B">
              <w:lastRenderedPageBreak/>
              <w:t>0,00/0,40/0,50</w:t>
            </w:r>
          </w:p>
        </w:tc>
      </w:tr>
      <w:tr w:rsidR="001F348B" w:rsidRPr="001F348B" w14:paraId="75B0BA7C" w14:textId="77777777">
        <w:tc>
          <w:tcPr>
            <w:tcW w:w="0" w:type="auto"/>
            <w:tcBorders>
              <w:top w:val="nil"/>
              <w:left w:val="single" w:sz="8" w:space="0" w:color="auto"/>
              <w:bottom w:val="single" w:sz="8" w:space="0" w:color="auto"/>
              <w:right w:val="single" w:sz="8" w:space="0" w:color="auto"/>
            </w:tcBorders>
            <w:tcMar>
              <w:top w:w="49" w:type="dxa"/>
              <w:left w:w="67" w:type="dxa"/>
              <w:bottom w:w="0" w:type="dxa"/>
              <w:right w:w="25" w:type="dxa"/>
            </w:tcMar>
            <w:hideMark/>
          </w:tcPr>
          <w:p w14:paraId="420229E4" w14:textId="77777777" w:rsidR="001F348B" w:rsidRPr="001F348B" w:rsidRDefault="001F348B" w:rsidP="001F348B">
            <w:pPr>
              <w:jc w:val="both"/>
            </w:pPr>
            <w:r w:rsidRPr="001F348B">
              <w:t xml:space="preserve">c) reconhecimento da impenhorabilidade da poupança (0,40), até o valor de 40 </w:t>
            </w:r>
            <w:proofErr w:type="gramStart"/>
            <w:r w:rsidRPr="001F348B">
              <w:t>salários mínimos</w:t>
            </w:r>
            <w:proofErr w:type="gramEnd"/>
            <w:r w:rsidRPr="001F348B">
              <w:t> (0,20), com base no Art. 833, inciso X, do CPC/15 (0,10)</w:t>
            </w:r>
          </w:p>
        </w:tc>
        <w:tc>
          <w:tcPr>
            <w:tcW w:w="0" w:type="auto"/>
            <w:tcBorders>
              <w:top w:val="nil"/>
              <w:left w:val="nil"/>
              <w:bottom w:val="single" w:sz="8" w:space="0" w:color="auto"/>
              <w:right w:val="single" w:sz="8" w:space="0" w:color="auto"/>
            </w:tcBorders>
            <w:tcMar>
              <w:top w:w="49" w:type="dxa"/>
              <w:left w:w="67" w:type="dxa"/>
              <w:bottom w:w="0" w:type="dxa"/>
              <w:right w:w="25" w:type="dxa"/>
            </w:tcMar>
            <w:vAlign w:val="center"/>
            <w:hideMark/>
          </w:tcPr>
          <w:p w14:paraId="680DD4FC" w14:textId="77777777" w:rsidR="001F348B" w:rsidRPr="001F348B" w:rsidRDefault="001F348B" w:rsidP="001F348B">
            <w:pPr>
              <w:jc w:val="both"/>
            </w:pPr>
            <w:r w:rsidRPr="001F348B">
              <w:t>0,00/0,40/0,50/0,60/0,70</w:t>
            </w:r>
          </w:p>
        </w:tc>
      </w:tr>
      <w:tr w:rsidR="001F348B" w:rsidRPr="001F348B" w14:paraId="1A2E8E55" w14:textId="77777777">
        <w:tc>
          <w:tcPr>
            <w:tcW w:w="0" w:type="auto"/>
            <w:tcBorders>
              <w:top w:val="nil"/>
              <w:left w:val="single" w:sz="8" w:space="0" w:color="auto"/>
              <w:bottom w:val="single" w:sz="8" w:space="0" w:color="auto"/>
              <w:right w:val="single" w:sz="8" w:space="0" w:color="auto"/>
            </w:tcBorders>
            <w:tcMar>
              <w:top w:w="49" w:type="dxa"/>
              <w:left w:w="67" w:type="dxa"/>
              <w:bottom w:w="0" w:type="dxa"/>
              <w:right w:w="25" w:type="dxa"/>
            </w:tcMar>
            <w:hideMark/>
          </w:tcPr>
          <w:p w14:paraId="17EF1951" w14:textId="77777777" w:rsidR="001F348B" w:rsidRPr="001F348B" w:rsidRDefault="001F348B" w:rsidP="001F348B">
            <w:pPr>
              <w:jc w:val="both"/>
            </w:pPr>
            <w:r w:rsidRPr="001F348B">
              <w:t>d) reconhecimento da impenhorabilidade do imóvel (0,40), por se tratar de bem de família (0,20), com base no Artigo 1º da Lei nº 8.009/90 (0,10)</w:t>
            </w:r>
          </w:p>
        </w:tc>
        <w:tc>
          <w:tcPr>
            <w:tcW w:w="0" w:type="auto"/>
            <w:tcBorders>
              <w:top w:val="nil"/>
              <w:left w:val="nil"/>
              <w:bottom w:val="single" w:sz="8" w:space="0" w:color="auto"/>
              <w:right w:val="single" w:sz="8" w:space="0" w:color="auto"/>
            </w:tcBorders>
            <w:tcMar>
              <w:top w:w="49" w:type="dxa"/>
              <w:left w:w="67" w:type="dxa"/>
              <w:bottom w:w="0" w:type="dxa"/>
              <w:right w:w="25" w:type="dxa"/>
            </w:tcMar>
            <w:vAlign w:val="center"/>
            <w:hideMark/>
          </w:tcPr>
          <w:p w14:paraId="4AAAEC0D" w14:textId="77777777" w:rsidR="001F348B" w:rsidRPr="001F348B" w:rsidRDefault="001F348B" w:rsidP="001F348B">
            <w:pPr>
              <w:jc w:val="both"/>
            </w:pPr>
            <w:r w:rsidRPr="001F348B">
              <w:t>0,00/0,40/0,50/0,60/0,70</w:t>
            </w:r>
          </w:p>
        </w:tc>
      </w:tr>
      <w:tr w:rsidR="001F348B" w:rsidRPr="001F348B" w14:paraId="006A8608" w14:textId="77777777">
        <w:tc>
          <w:tcPr>
            <w:tcW w:w="0" w:type="auto"/>
            <w:tcBorders>
              <w:top w:val="nil"/>
              <w:left w:val="single" w:sz="8" w:space="0" w:color="auto"/>
              <w:bottom w:val="single" w:sz="8" w:space="0" w:color="auto"/>
              <w:right w:val="single" w:sz="8" w:space="0" w:color="auto"/>
            </w:tcBorders>
            <w:shd w:val="clear" w:color="auto" w:fill="D9D9D9"/>
            <w:tcMar>
              <w:top w:w="49" w:type="dxa"/>
              <w:left w:w="67" w:type="dxa"/>
              <w:bottom w:w="0" w:type="dxa"/>
              <w:right w:w="25" w:type="dxa"/>
            </w:tcMar>
            <w:hideMark/>
          </w:tcPr>
          <w:p w14:paraId="07172408" w14:textId="77777777" w:rsidR="001F348B" w:rsidRPr="001F348B" w:rsidRDefault="001F348B" w:rsidP="001F348B">
            <w:pPr>
              <w:jc w:val="both"/>
            </w:pPr>
            <w:r w:rsidRPr="001F348B">
              <w:rPr>
                <w:b/>
                <w:bCs/>
              </w:rPr>
              <w:t>V - </w:t>
            </w:r>
            <w:r w:rsidRPr="001F348B">
              <w:t xml:space="preserve">Pedido de recebimento dos embargos </w:t>
            </w:r>
            <w:proofErr w:type="gramStart"/>
            <w:r w:rsidRPr="001F348B">
              <w:t>com  atribuição</w:t>
            </w:r>
            <w:proofErr w:type="gramEnd"/>
            <w:r w:rsidRPr="001F348B">
              <w:t xml:space="preserve"> de </w:t>
            </w:r>
            <w:r w:rsidRPr="001F348B">
              <w:rPr>
                <w:b/>
                <w:bCs/>
              </w:rPr>
              <w:t>efeito suspensivo</w:t>
            </w:r>
            <w:r w:rsidRPr="001F348B">
              <w:t> (0,10), com fundamento no Art. 919, § 1º, do CPC/15 (0,10).</w:t>
            </w:r>
          </w:p>
        </w:tc>
        <w:tc>
          <w:tcPr>
            <w:tcW w:w="0" w:type="auto"/>
            <w:tcBorders>
              <w:top w:val="nil"/>
              <w:left w:val="nil"/>
              <w:bottom w:val="single" w:sz="8" w:space="0" w:color="auto"/>
              <w:right w:val="single" w:sz="8" w:space="0" w:color="auto"/>
            </w:tcBorders>
            <w:shd w:val="clear" w:color="auto" w:fill="D9D9D9"/>
            <w:tcMar>
              <w:top w:w="49" w:type="dxa"/>
              <w:left w:w="67" w:type="dxa"/>
              <w:bottom w:w="0" w:type="dxa"/>
              <w:right w:w="25" w:type="dxa"/>
            </w:tcMar>
            <w:vAlign w:val="center"/>
            <w:hideMark/>
          </w:tcPr>
          <w:p w14:paraId="1DCDEF85" w14:textId="77777777" w:rsidR="001F348B" w:rsidRPr="001F348B" w:rsidRDefault="001F348B" w:rsidP="001F348B">
            <w:pPr>
              <w:jc w:val="both"/>
            </w:pPr>
            <w:r w:rsidRPr="001F348B">
              <w:t>0,00/0,10/0,20</w:t>
            </w:r>
          </w:p>
        </w:tc>
      </w:tr>
      <w:tr w:rsidR="001F348B" w:rsidRPr="001F348B" w14:paraId="416135B4" w14:textId="77777777">
        <w:tc>
          <w:tcPr>
            <w:tcW w:w="0" w:type="auto"/>
            <w:tcBorders>
              <w:top w:val="nil"/>
              <w:left w:val="single" w:sz="8" w:space="0" w:color="auto"/>
              <w:bottom w:val="single" w:sz="8" w:space="0" w:color="auto"/>
              <w:right w:val="single" w:sz="8" w:space="0" w:color="auto"/>
            </w:tcBorders>
            <w:tcMar>
              <w:top w:w="49" w:type="dxa"/>
              <w:left w:w="67" w:type="dxa"/>
              <w:bottom w:w="0" w:type="dxa"/>
              <w:right w:w="25" w:type="dxa"/>
            </w:tcMar>
            <w:hideMark/>
          </w:tcPr>
          <w:p w14:paraId="11A483AD" w14:textId="77777777" w:rsidR="001F348B" w:rsidRPr="001F348B" w:rsidRDefault="001F348B" w:rsidP="001F348B">
            <w:pPr>
              <w:jc w:val="both"/>
            </w:pPr>
            <w:r w:rsidRPr="001F348B">
              <w:t>a) presente o </w:t>
            </w:r>
            <w:r w:rsidRPr="001F348B">
              <w:rPr>
                <w:i/>
                <w:iCs/>
              </w:rPr>
              <w:t>periculum in mora</w:t>
            </w:r>
            <w:r w:rsidRPr="001F348B">
              <w:t> decorrente do risco de dano pelo prosseguimento da execução com a indisponibilidade dos bens da executada (0,20)</w:t>
            </w:r>
          </w:p>
        </w:tc>
        <w:tc>
          <w:tcPr>
            <w:tcW w:w="0" w:type="auto"/>
            <w:tcBorders>
              <w:top w:val="nil"/>
              <w:left w:val="nil"/>
              <w:bottom w:val="single" w:sz="8" w:space="0" w:color="auto"/>
              <w:right w:val="single" w:sz="8" w:space="0" w:color="auto"/>
            </w:tcBorders>
            <w:tcMar>
              <w:top w:w="49" w:type="dxa"/>
              <w:left w:w="67" w:type="dxa"/>
              <w:bottom w:w="0" w:type="dxa"/>
              <w:right w:w="25" w:type="dxa"/>
            </w:tcMar>
            <w:vAlign w:val="center"/>
            <w:hideMark/>
          </w:tcPr>
          <w:p w14:paraId="6F5C421D" w14:textId="77777777" w:rsidR="001F348B" w:rsidRPr="001F348B" w:rsidRDefault="001F348B" w:rsidP="001F348B">
            <w:pPr>
              <w:jc w:val="both"/>
            </w:pPr>
            <w:r w:rsidRPr="001F348B">
              <w:t>0,00/0,20</w:t>
            </w:r>
          </w:p>
        </w:tc>
      </w:tr>
      <w:tr w:rsidR="001F348B" w:rsidRPr="001F348B" w14:paraId="2C9E4FAB" w14:textId="77777777">
        <w:tc>
          <w:tcPr>
            <w:tcW w:w="0" w:type="auto"/>
            <w:tcBorders>
              <w:top w:val="nil"/>
              <w:left w:val="single" w:sz="8" w:space="0" w:color="auto"/>
              <w:bottom w:val="single" w:sz="8" w:space="0" w:color="auto"/>
              <w:right w:val="single" w:sz="8" w:space="0" w:color="auto"/>
            </w:tcBorders>
            <w:tcMar>
              <w:top w:w="49" w:type="dxa"/>
              <w:left w:w="67" w:type="dxa"/>
              <w:bottom w:w="0" w:type="dxa"/>
              <w:right w:w="25" w:type="dxa"/>
            </w:tcMar>
            <w:hideMark/>
          </w:tcPr>
          <w:p w14:paraId="4956107C" w14:textId="77777777" w:rsidR="001F348B" w:rsidRPr="001F348B" w:rsidRDefault="001F348B" w:rsidP="001F348B">
            <w:pPr>
              <w:jc w:val="both"/>
            </w:pPr>
            <w:r w:rsidRPr="001F348B">
              <w:t>b) presente o </w:t>
            </w:r>
            <w:r w:rsidRPr="001F348B">
              <w:rPr>
                <w:i/>
                <w:iCs/>
              </w:rPr>
              <w:t>fumus boni iuris</w:t>
            </w:r>
            <w:r w:rsidRPr="001F348B">
              <w:t> consistente na plausibilidade da tese apresentada pela Embargante (0,20)</w:t>
            </w:r>
          </w:p>
        </w:tc>
        <w:tc>
          <w:tcPr>
            <w:tcW w:w="0" w:type="auto"/>
            <w:tcBorders>
              <w:top w:val="nil"/>
              <w:left w:val="nil"/>
              <w:bottom w:val="single" w:sz="8" w:space="0" w:color="auto"/>
              <w:right w:val="single" w:sz="8" w:space="0" w:color="auto"/>
            </w:tcBorders>
            <w:tcMar>
              <w:top w:w="49" w:type="dxa"/>
              <w:left w:w="67" w:type="dxa"/>
              <w:bottom w:w="0" w:type="dxa"/>
              <w:right w:w="25" w:type="dxa"/>
            </w:tcMar>
            <w:vAlign w:val="center"/>
            <w:hideMark/>
          </w:tcPr>
          <w:p w14:paraId="05C33393" w14:textId="77777777" w:rsidR="001F348B" w:rsidRPr="001F348B" w:rsidRDefault="001F348B" w:rsidP="001F348B">
            <w:pPr>
              <w:jc w:val="both"/>
            </w:pPr>
            <w:r w:rsidRPr="001F348B">
              <w:t>0,00/0,20</w:t>
            </w:r>
          </w:p>
        </w:tc>
      </w:tr>
      <w:tr w:rsidR="001F348B" w:rsidRPr="001F348B" w14:paraId="1008F24F" w14:textId="77777777">
        <w:tc>
          <w:tcPr>
            <w:tcW w:w="0" w:type="auto"/>
            <w:tcBorders>
              <w:top w:val="nil"/>
              <w:left w:val="single" w:sz="8" w:space="0" w:color="auto"/>
              <w:bottom w:val="single" w:sz="8" w:space="0" w:color="auto"/>
              <w:right w:val="single" w:sz="8" w:space="0" w:color="auto"/>
            </w:tcBorders>
            <w:tcMar>
              <w:top w:w="49" w:type="dxa"/>
              <w:left w:w="67" w:type="dxa"/>
              <w:bottom w:w="0" w:type="dxa"/>
              <w:right w:w="25" w:type="dxa"/>
            </w:tcMar>
            <w:hideMark/>
          </w:tcPr>
          <w:p w14:paraId="50630E9D" w14:textId="77777777" w:rsidR="001F348B" w:rsidRPr="001F348B" w:rsidRDefault="001F348B" w:rsidP="001F348B">
            <w:pPr>
              <w:jc w:val="both"/>
            </w:pPr>
            <w:r w:rsidRPr="001F348B">
              <w:t xml:space="preserve">c) demonstração de garantia do juízo pela penhora dos </w:t>
            </w:r>
            <w:proofErr w:type="gramStart"/>
            <w:r w:rsidRPr="001F348B">
              <w:t>bens  (</w:t>
            </w:r>
            <w:proofErr w:type="gramEnd"/>
            <w:r w:rsidRPr="001F348B">
              <w:t>0,10)</w:t>
            </w:r>
          </w:p>
        </w:tc>
        <w:tc>
          <w:tcPr>
            <w:tcW w:w="0" w:type="auto"/>
            <w:tcBorders>
              <w:top w:val="nil"/>
              <w:left w:val="nil"/>
              <w:bottom w:val="single" w:sz="8" w:space="0" w:color="auto"/>
              <w:right w:val="single" w:sz="8" w:space="0" w:color="auto"/>
            </w:tcBorders>
            <w:tcMar>
              <w:top w:w="49" w:type="dxa"/>
              <w:left w:w="67" w:type="dxa"/>
              <w:bottom w:w="0" w:type="dxa"/>
              <w:right w:w="25" w:type="dxa"/>
            </w:tcMar>
            <w:hideMark/>
          </w:tcPr>
          <w:p w14:paraId="03347F6C" w14:textId="77777777" w:rsidR="001F348B" w:rsidRPr="001F348B" w:rsidRDefault="001F348B" w:rsidP="001F348B">
            <w:pPr>
              <w:jc w:val="both"/>
            </w:pPr>
            <w:r w:rsidRPr="001F348B">
              <w:t>0,00/0,10</w:t>
            </w:r>
          </w:p>
        </w:tc>
      </w:tr>
      <w:tr w:rsidR="001F348B" w:rsidRPr="001F348B" w14:paraId="1D0FDBF0" w14:textId="77777777">
        <w:tc>
          <w:tcPr>
            <w:tcW w:w="0" w:type="auto"/>
            <w:tcBorders>
              <w:top w:val="nil"/>
              <w:left w:val="single" w:sz="8" w:space="0" w:color="auto"/>
              <w:bottom w:val="single" w:sz="8" w:space="0" w:color="auto"/>
              <w:right w:val="single" w:sz="8" w:space="0" w:color="auto"/>
            </w:tcBorders>
            <w:shd w:val="clear" w:color="auto" w:fill="D9D9D9"/>
            <w:tcMar>
              <w:top w:w="49" w:type="dxa"/>
              <w:left w:w="67" w:type="dxa"/>
              <w:bottom w:w="0" w:type="dxa"/>
              <w:right w:w="25" w:type="dxa"/>
            </w:tcMar>
            <w:hideMark/>
          </w:tcPr>
          <w:p w14:paraId="42446A49" w14:textId="77777777" w:rsidR="001F348B" w:rsidRPr="001F348B" w:rsidRDefault="001F348B" w:rsidP="001F348B">
            <w:pPr>
              <w:jc w:val="both"/>
            </w:pPr>
            <w:r w:rsidRPr="001F348B">
              <w:rPr>
                <w:b/>
                <w:bCs/>
              </w:rPr>
              <w:t>VI – Pedidos</w:t>
            </w:r>
          </w:p>
        </w:tc>
        <w:tc>
          <w:tcPr>
            <w:tcW w:w="0" w:type="auto"/>
            <w:tcBorders>
              <w:top w:val="nil"/>
              <w:left w:val="nil"/>
              <w:bottom w:val="single" w:sz="8" w:space="0" w:color="auto"/>
              <w:right w:val="single" w:sz="8" w:space="0" w:color="auto"/>
            </w:tcBorders>
            <w:shd w:val="clear" w:color="auto" w:fill="D9D9D9"/>
            <w:tcMar>
              <w:top w:w="49" w:type="dxa"/>
              <w:left w:w="67" w:type="dxa"/>
              <w:bottom w:w="0" w:type="dxa"/>
              <w:right w:w="25" w:type="dxa"/>
            </w:tcMar>
            <w:hideMark/>
          </w:tcPr>
          <w:p w14:paraId="55AE5C18" w14:textId="77777777" w:rsidR="001F348B" w:rsidRPr="001F348B" w:rsidRDefault="001F348B" w:rsidP="001F348B">
            <w:pPr>
              <w:jc w:val="both"/>
            </w:pPr>
            <w:r w:rsidRPr="001F348B">
              <w:t> </w:t>
            </w:r>
          </w:p>
        </w:tc>
      </w:tr>
      <w:tr w:rsidR="001F348B" w:rsidRPr="001F348B" w14:paraId="7DCA554B" w14:textId="77777777">
        <w:tc>
          <w:tcPr>
            <w:tcW w:w="0" w:type="auto"/>
            <w:tcBorders>
              <w:top w:val="nil"/>
              <w:left w:val="single" w:sz="8" w:space="0" w:color="auto"/>
              <w:bottom w:val="single" w:sz="8" w:space="0" w:color="auto"/>
              <w:right w:val="single" w:sz="8" w:space="0" w:color="auto"/>
            </w:tcBorders>
            <w:tcMar>
              <w:top w:w="49" w:type="dxa"/>
              <w:left w:w="67" w:type="dxa"/>
              <w:bottom w:w="0" w:type="dxa"/>
              <w:right w:w="25" w:type="dxa"/>
            </w:tcMar>
            <w:hideMark/>
          </w:tcPr>
          <w:p w14:paraId="04754A27" w14:textId="77777777" w:rsidR="001F348B" w:rsidRPr="001F348B" w:rsidRDefault="001F348B" w:rsidP="001F348B">
            <w:pPr>
              <w:jc w:val="both"/>
            </w:pPr>
            <w:r w:rsidRPr="001F348B">
              <w:t>a) desconstituição do título executivo (0,25), com a anulação da confissão de dívida (0,15).</w:t>
            </w:r>
          </w:p>
        </w:tc>
        <w:tc>
          <w:tcPr>
            <w:tcW w:w="0" w:type="auto"/>
            <w:tcBorders>
              <w:top w:val="nil"/>
              <w:left w:val="nil"/>
              <w:bottom w:val="single" w:sz="8" w:space="0" w:color="auto"/>
              <w:right w:val="single" w:sz="8" w:space="0" w:color="auto"/>
            </w:tcBorders>
            <w:tcMar>
              <w:top w:w="49" w:type="dxa"/>
              <w:left w:w="67" w:type="dxa"/>
              <w:bottom w:w="0" w:type="dxa"/>
              <w:right w:w="25" w:type="dxa"/>
            </w:tcMar>
            <w:vAlign w:val="center"/>
            <w:hideMark/>
          </w:tcPr>
          <w:p w14:paraId="22AA63FB" w14:textId="77777777" w:rsidR="001F348B" w:rsidRPr="001F348B" w:rsidRDefault="001F348B" w:rsidP="001F348B">
            <w:pPr>
              <w:jc w:val="both"/>
            </w:pPr>
            <w:r w:rsidRPr="001F348B">
              <w:t>0,00/0,15/0,25/0,40</w:t>
            </w:r>
          </w:p>
        </w:tc>
      </w:tr>
      <w:tr w:rsidR="001F348B" w:rsidRPr="001F348B" w14:paraId="27A8AECE" w14:textId="77777777">
        <w:tc>
          <w:tcPr>
            <w:tcW w:w="0" w:type="auto"/>
            <w:tcBorders>
              <w:top w:val="nil"/>
              <w:left w:val="single" w:sz="8" w:space="0" w:color="auto"/>
              <w:bottom w:val="single" w:sz="8" w:space="0" w:color="auto"/>
              <w:right w:val="single" w:sz="8" w:space="0" w:color="auto"/>
            </w:tcBorders>
            <w:tcMar>
              <w:top w:w="49" w:type="dxa"/>
              <w:left w:w="67" w:type="dxa"/>
              <w:bottom w:w="0" w:type="dxa"/>
              <w:right w:w="25" w:type="dxa"/>
            </w:tcMar>
            <w:hideMark/>
          </w:tcPr>
          <w:p w14:paraId="56371887" w14:textId="77777777" w:rsidR="001F348B" w:rsidRPr="001F348B" w:rsidRDefault="001F348B" w:rsidP="001F348B">
            <w:pPr>
              <w:jc w:val="both"/>
            </w:pPr>
            <w:r w:rsidRPr="001F348B">
              <w:t>b) Pedido de extinção do processo executivo (0,20)</w:t>
            </w:r>
          </w:p>
        </w:tc>
        <w:tc>
          <w:tcPr>
            <w:tcW w:w="0" w:type="auto"/>
            <w:tcBorders>
              <w:top w:val="nil"/>
              <w:left w:val="nil"/>
              <w:bottom w:val="single" w:sz="8" w:space="0" w:color="auto"/>
              <w:right w:val="single" w:sz="8" w:space="0" w:color="auto"/>
            </w:tcBorders>
            <w:tcMar>
              <w:top w:w="49" w:type="dxa"/>
              <w:left w:w="67" w:type="dxa"/>
              <w:bottom w:w="0" w:type="dxa"/>
              <w:right w:w="25" w:type="dxa"/>
            </w:tcMar>
            <w:hideMark/>
          </w:tcPr>
          <w:p w14:paraId="1AB4DDAB" w14:textId="77777777" w:rsidR="001F348B" w:rsidRPr="001F348B" w:rsidRDefault="001F348B" w:rsidP="001F348B">
            <w:pPr>
              <w:jc w:val="both"/>
            </w:pPr>
            <w:r w:rsidRPr="001F348B">
              <w:t>0,00/0,20</w:t>
            </w:r>
          </w:p>
        </w:tc>
      </w:tr>
      <w:tr w:rsidR="001F348B" w:rsidRPr="001F348B" w14:paraId="365AF3DD" w14:textId="77777777">
        <w:tc>
          <w:tcPr>
            <w:tcW w:w="0" w:type="auto"/>
            <w:tcBorders>
              <w:top w:val="nil"/>
              <w:left w:val="single" w:sz="8" w:space="0" w:color="auto"/>
              <w:bottom w:val="single" w:sz="8" w:space="0" w:color="auto"/>
              <w:right w:val="single" w:sz="8" w:space="0" w:color="auto"/>
            </w:tcBorders>
            <w:tcMar>
              <w:top w:w="49" w:type="dxa"/>
              <w:left w:w="67" w:type="dxa"/>
              <w:bottom w:w="0" w:type="dxa"/>
              <w:right w:w="25" w:type="dxa"/>
            </w:tcMar>
            <w:hideMark/>
          </w:tcPr>
          <w:p w14:paraId="0D46EBD5" w14:textId="77777777" w:rsidR="001F348B" w:rsidRPr="001F348B" w:rsidRDefault="001F348B" w:rsidP="001F348B">
            <w:pPr>
              <w:jc w:val="both"/>
            </w:pPr>
            <w:r w:rsidRPr="001F348B">
              <w:t>c) Pedido de produção de prova testemunhal (0,10).</w:t>
            </w:r>
          </w:p>
        </w:tc>
        <w:tc>
          <w:tcPr>
            <w:tcW w:w="0" w:type="auto"/>
            <w:tcBorders>
              <w:top w:val="nil"/>
              <w:left w:val="nil"/>
              <w:bottom w:val="single" w:sz="8" w:space="0" w:color="auto"/>
              <w:right w:val="single" w:sz="8" w:space="0" w:color="auto"/>
            </w:tcBorders>
            <w:tcMar>
              <w:top w:w="49" w:type="dxa"/>
              <w:left w:w="67" w:type="dxa"/>
              <w:bottom w:w="0" w:type="dxa"/>
              <w:right w:w="25" w:type="dxa"/>
            </w:tcMar>
            <w:hideMark/>
          </w:tcPr>
          <w:p w14:paraId="74D1F96E" w14:textId="77777777" w:rsidR="001F348B" w:rsidRPr="001F348B" w:rsidRDefault="001F348B" w:rsidP="001F348B">
            <w:pPr>
              <w:jc w:val="both"/>
            </w:pPr>
            <w:r w:rsidRPr="001F348B">
              <w:t>0,00/0,10</w:t>
            </w:r>
          </w:p>
        </w:tc>
      </w:tr>
      <w:tr w:rsidR="001F348B" w:rsidRPr="001F348B" w14:paraId="14FC729D" w14:textId="77777777">
        <w:tc>
          <w:tcPr>
            <w:tcW w:w="0" w:type="auto"/>
            <w:tcBorders>
              <w:top w:val="nil"/>
              <w:left w:val="single" w:sz="8" w:space="0" w:color="auto"/>
              <w:bottom w:val="single" w:sz="8" w:space="0" w:color="auto"/>
              <w:right w:val="single" w:sz="8" w:space="0" w:color="auto"/>
            </w:tcBorders>
            <w:tcMar>
              <w:top w:w="49" w:type="dxa"/>
              <w:left w:w="67" w:type="dxa"/>
              <w:bottom w:w="0" w:type="dxa"/>
              <w:right w:w="25" w:type="dxa"/>
            </w:tcMar>
            <w:hideMark/>
          </w:tcPr>
          <w:p w14:paraId="5A4A2559" w14:textId="77777777" w:rsidR="001F348B" w:rsidRPr="001F348B" w:rsidRDefault="001F348B" w:rsidP="001F348B">
            <w:pPr>
              <w:jc w:val="both"/>
            </w:pPr>
            <w:r w:rsidRPr="001F348B">
              <w:t>d) Juntada do comprovante de recolhimento de custas ou pedido de gratuidade de justiça (0,10).</w:t>
            </w:r>
          </w:p>
        </w:tc>
        <w:tc>
          <w:tcPr>
            <w:tcW w:w="0" w:type="auto"/>
            <w:tcBorders>
              <w:top w:val="nil"/>
              <w:left w:val="nil"/>
              <w:bottom w:val="single" w:sz="8" w:space="0" w:color="auto"/>
              <w:right w:val="single" w:sz="8" w:space="0" w:color="auto"/>
            </w:tcBorders>
            <w:tcMar>
              <w:top w:w="49" w:type="dxa"/>
              <w:left w:w="67" w:type="dxa"/>
              <w:bottom w:w="0" w:type="dxa"/>
              <w:right w:w="25" w:type="dxa"/>
            </w:tcMar>
            <w:vAlign w:val="center"/>
            <w:hideMark/>
          </w:tcPr>
          <w:p w14:paraId="6987ACC8" w14:textId="77777777" w:rsidR="001F348B" w:rsidRPr="001F348B" w:rsidRDefault="001F348B" w:rsidP="001F348B">
            <w:pPr>
              <w:jc w:val="both"/>
            </w:pPr>
            <w:r w:rsidRPr="001F348B">
              <w:t>0,00/0,10</w:t>
            </w:r>
          </w:p>
        </w:tc>
      </w:tr>
      <w:tr w:rsidR="001F348B" w:rsidRPr="001F348B" w14:paraId="38C9FDD1" w14:textId="77777777">
        <w:tc>
          <w:tcPr>
            <w:tcW w:w="0" w:type="auto"/>
            <w:tcBorders>
              <w:top w:val="nil"/>
              <w:left w:val="single" w:sz="8" w:space="0" w:color="auto"/>
              <w:bottom w:val="single" w:sz="8" w:space="0" w:color="auto"/>
              <w:right w:val="single" w:sz="8" w:space="0" w:color="auto"/>
            </w:tcBorders>
            <w:tcMar>
              <w:top w:w="49" w:type="dxa"/>
              <w:left w:w="67" w:type="dxa"/>
              <w:bottom w:w="0" w:type="dxa"/>
              <w:right w:w="25" w:type="dxa"/>
            </w:tcMar>
            <w:hideMark/>
          </w:tcPr>
          <w:p w14:paraId="33C5B179" w14:textId="77777777" w:rsidR="001F348B" w:rsidRPr="001F348B" w:rsidRDefault="001F348B" w:rsidP="001F348B">
            <w:pPr>
              <w:jc w:val="both"/>
            </w:pPr>
            <w:r w:rsidRPr="001F348B">
              <w:t>e) condenação em custas (0,10) e honorários advocatícios (0,10).</w:t>
            </w:r>
          </w:p>
        </w:tc>
        <w:tc>
          <w:tcPr>
            <w:tcW w:w="0" w:type="auto"/>
            <w:tcBorders>
              <w:top w:val="nil"/>
              <w:left w:val="nil"/>
              <w:bottom w:val="single" w:sz="8" w:space="0" w:color="auto"/>
              <w:right w:val="single" w:sz="8" w:space="0" w:color="auto"/>
            </w:tcBorders>
            <w:tcMar>
              <w:top w:w="49" w:type="dxa"/>
              <w:left w:w="67" w:type="dxa"/>
              <w:bottom w:w="0" w:type="dxa"/>
              <w:right w:w="25" w:type="dxa"/>
            </w:tcMar>
            <w:hideMark/>
          </w:tcPr>
          <w:p w14:paraId="423650E3" w14:textId="77777777" w:rsidR="001F348B" w:rsidRPr="001F348B" w:rsidRDefault="001F348B" w:rsidP="001F348B">
            <w:pPr>
              <w:jc w:val="both"/>
            </w:pPr>
            <w:r w:rsidRPr="001F348B">
              <w:t>0,00/0,10/0,20</w:t>
            </w:r>
          </w:p>
        </w:tc>
      </w:tr>
      <w:tr w:rsidR="001F348B" w:rsidRPr="001F348B" w14:paraId="714AAD18" w14:textId="77777777">
        <w:tc>
          <w:tcPr>
            <w:tcW w:w="0" w:type="auto"/>
            <w:tcBorders>
              <w:top w:val="nil"/>
              <w:left w:val="single" w:sz="8" w:space="0" w:color="auto"/>
              <w:bottom w:val="single" w:sz="8" w:space="0" w:color="auto"/>
              <w:right w:val="single" w:sz="8" w:space="0" w:color="auto"/>
            </w:tcBorders>
            <w:tcMar>
              <w:top w:w="49" w:type="dxa"/>
              <w:left w:w="67" w:type="dxa"/>
              <w:bottom w:w="0" w:type="dxa"/>
              <w:right w:w="25" w:type="dxa"/>
            </w:tcMar>
            <w:hideMark/>
          </w:tcPr>
          <w:p w14:paraId="381AFD3D" w14:textId="77777777" w:rsidR="001F348B" w:rsidRPr="001F348B" w:rsidRDefault="001F348B" w:rsidP="001F348B">
            <w:pPr>
              <w:jc w:val="both"/>
            </w:pPr>
            <w:r w:rsidRPr="001F348B">
              <w:t xml:space="preserve">Indicação do Valor da </w:t>
            </w:r>
            <w:proofErr w:type="gramStart"/>
            <w:r w:rsidRPr="001F348B">
              <w:t>Causa  (</w:t>
            </w:r>
            <w:proofErr w:type="gramEnd"/>
            <w:r w:rsidRPr="001F348B">
              <w:t>0,10)</w:t>
            </w:r>
          </w:p>
        </w:tc>
        <w:tc>
          <w:tcPr>
            <w:tcW w:w="0" w:type="auto"/>
            <w:tcBorders>
              <w:top w:val="nil"/>
              <w:left w:val="nil"/>
              <w:bottom w:val="single" w:sz="8" w:space="0" w:color="auto"/>
              <w:right w:val="single" w:sz="8" w:space="0" w:color="auto"/>
            </w:tcBorders>
            <w:tcMar>
              <w:top w:w="49" w:type="dxa"/>
              <w:left w:w="67" w:type="dxa"/>
              <w:bottom w:w="0" w:type="dxa"/>
              <w:right w:w="25" w:type="dxa"/>
            </w:tcMar>
            <w:hideMark/>
          </w:tcPr>
          <w:p w14:paraId="7E71DD7B" w14:textId="77777777" w:rsidR="001F348B" w:rsidRPr="001F348B" w:rsidRDefault="001F348B" w:rsidP="001F348B">
            <w:pPr>
              <w:jc w:val="both"/>
            </w:pPr>
            <w:r w:rsidRPr="001F348B">
              <w:t>0,00/0,10</w:t>
            </w:r>
          </w:p>
        </w:tc>
      </w:tr>
      <w:tr w:rsidR="001F348B" w:rsidRPr="001F348B" w14:paraId="33C15799" w14:textId="77777777">
        <w:tc>
          <w:tcPr>
            <w:tcW w:w="0" w:type="auto"/>
            <w:tcBorders>
              <w:top w:val="nil"/>
              <w:left w:val="single" w:sz="8" w:space="0" w:color="auto"/>
              <w:bottom w:val="single" w:sz="8" w:space="0" w:color="auto"/>
              <w:right w:val="single" w:sz="8" w:space="0" w:color="auto"/>
            </w:tcBorders>
            <w:tcMar>
              <w:top w:w="49" w:type="dxa"/>
              <w:left w:w="67" w:type="dxa"/>
              <w:bottom w:w="0" w:type="dxa"/>
              <w:right w:w="25" w:type="dxa"/>
            </w:tcMar>
            <w:hideMark/>
          </w:tcPr>
          <w:p w14:paraId="58DF63D5" w14:textId="77777777" w:rsidR="001F348B" w:rsidRPr="001F348B" w:rsidRDefault="001F348B" w:rsidP="001F348B">
            <w:pPr>
              <w:jc w:val="both"/>
            </w:pPr>
            <w:r w:rsidRPr="001F348B">
              <w:t>Juntar as cópias relevantes (0,10) </w:t>
            </w:r>
          </w:p>
        </w:tc>
        <w:tc>
          <w:tcPr>
            <w:tcW w:w="0" w:type="auto"/>
            <w:tcBorders>
              <w:top w:val="nil"/>
              <w:left w:val="nil"/>
              <w:bottom w:val="single" w:sz="8" w:space="0" w:color="auto"/>
              <w:right w:val="single" w:sz="8" w:space="0" w:color="auto"/>
            </w:tcBorders>
            <w:tcMar>
              <w:top w:w="49" w:type="dxa"/>
              <w:left w:w="67" w:type="dxa"/>
              <w:bottom w:w="0" w:type="dxa"/>
              <w:right w:w="25" w:type="dxa"/>
            </w:tcMar>
            <w:hideMark/>
          </w:tcPr>
          <w:p w14:paraId="0D05D4CC" w14:textId="77777777" w:rsidR="001F348B" w:rsidRPr="001F348B" w:rsidRDefault="001F348B" w:rsidP="001F348B">
            <w:pPr>
              <w:jc w:val="both"/>
            </w:pPr>
            <w:r w:rsidRPr="001F348B">
              <w:t>0,00/0,10</w:t>
            </w:r>
          </w:p>
        </w:tc>
      </w:tr>
      <w:tr w:rsidR="001F348B" w:rsidRPr="001F348B" w14:paraId="71D17172" w14:textId="77777777">
        <w:tc>
          <w:tcPr>
            <w:tcW w:w="0" w:type="auto"/>
            <w:tcBorders>
              <w:top w:val="nil"/>
              <w:left w:val="single" w:sz="8" w:space="0" w:color="auto"/>
              <w:bottom w:val="single" w:sz="8" w:space="0" w:color="auto"/>
              <w:right w:val="single" w:sz="8" w:space="0" w:color="auto"/>
            </w:tcBorders>
            <w:tcMar>
              <w:top w:w="112" w:type="dxa"/>
              <w:left w:w="70" w:type="dxa"/>
              <w:bottom w:w="0" w:type="dxa"/>
              <w:right w:w="115" w:type="dxa"/>
            </w:tcMar>
            <w:hideMark/>
          </w:tcPr>
          <w:p w14:paraId="1B4A58FC" w14:textId="77777777" w:rsidR="001F348B" w:rsidRPr="001F348B" w:rsidRDefault="001F348B" w:rsidP="001F348B">
            <w:pPr>
              <w:jc w:val="both"/>
            </w:pPr>
            <w:r w:rsidRPr="001F348B">
              <w:t>Fechamento: local, data, assinatura e OAB (0,10)</w:t>
            </w:r>
          </w:p>
        </w:tc>
        <w:tc>
          <w:tcPr>
            <w:tcW w:w="0" w:type="auto"/>
            <w:tcBorders>
              <w:top w:val="nil"/>
              <w:left w:val="nil"/>
              <w:bottom w:val="single" w:sz="8" w:space="0" w:color="auto"/>
              <w:right w:val="single" w:sz="8" w:space="0" w:color="auto"/>
            </w:tcBorders>
            <w:tcMar>
              <w:top w:w="112" w:type="dxa"/>
              <w:left w:w="70" w:type="dxa"/>
              <w:bottom w:w="0" w:type="dxa"/>
              <w:right w:w="115" w:type="dxa"/>
            </w:tcMar>
            <w:hideMark/>
          </w:tcPr>
          <w:p w14:paraId="0E446B34" w14:textId="77777777" w:rsidR="001F348B" w:rsidRPr="001F348B" w:rsidRDefault="001F348B" w:rsidP="001F348B">
            <w:pPr>
              <w:jc w:val="both"/>
            </w:pPr>
            <w:r w:rsidRPr="001F348B">
              <w:t>0,00/0,10</w:t>
            </w:r>
          </w:p>
        </w:tc>
      </w:tr>
    </w:tbl>
    <w:p w14:paraId="0AFA0E2A" w14:textId="77777777" w:rsidR="001F348B" w:rsidRPr="001F348B" w:rsidRDefault="001F348B" w:rsidP="001F348B">
      <w:pPr>
        <w:jc w:val="both"/>
      </w:pPr>
      <w:r w:rsidRPr="001F348B">
        <w:t> </w:t>
      </w:r>
    </w:p>
    <w:p w14:paraId="51BA6475" w14:textId="14410CDA" w:rsidR="001F348B" w:rsidRPr="001F348B" w:rsidRDefault="001F348B" w:rsidP="001F348B">
      <w:pPr>
        <w:jc w:val="both"/>
      </w:pPr>
      <w:r w:rsidRPr="001F348B">
        <w:rPr>
          <w:b/>
          <w:bCs/>
        </w:rPr>
        <w:t>Questão 1</w:t>
      </w:r>
      <w:r w:rsidR="000B7444">
        <w:t xml:space="preserve">: </w:t>
      </w:r>
      <w:r w:rsidRPr="001F348B">
        <w:t>Maria Clara e Jorge tiveram uma filha, Catarina, a qual foi registrada sob filiação de ambos. Apesar de nunca terem se casado, Maria Clara e Jorge contribuíam paritariamente com o sustento da criança, que vivia com Maria Clara. </w:t>
      </w:r>
    </w:p>
    <w:p w14:paraId="3BABC4E1" w14:textId="0896DFA8" w:rsidR="001F348B" w:rsidRPr="001F348B" w:rsidRDefault="001F348B" w:rsidP="001F348B">
      <w:pPr>
        <w:jc w:val="both"/>
      </w:pPr>
      <w:r w:rsidRPr="001F348B">
        <w:t xml:space="preserve">Quando Catarina fez dois anos de idade, Jorge ficou desempregado, situação que perdura </w:t>
      </w:r>
      <w:proofErr w:type="gramStart"/>
      <w:r w:rsidRPr="001F348B">
        <w:t>até  hoje</w:t>
      </w:r>
      <w:proofErr w:type="gramEnd"/>
      <w:r w:rsidRPr="001F348B">
        <w:t>. Em razão disso, não possui qualquer condição de prover a subsistência de Catarina, que não consegue contar apenas com a renda de sua mãe, Maria Clara, filha única de seus genitores, já falecidos. Jorge reside com sua mãe, Olívia, que trabalha e possui excelente condição financeira. Além disso, Catarina possui um irmão mais velho, Marcos, capaz e com 26 anos, fruto do primeiro casamento de Jorge, que também tem sólida situação financeira. Com base em tais fatos, responda aos itens a seguir, justificando e fundamentando a resposta.</w:t>
      </w:r>
    </w:p>
    <w:p w14:paraId="47ACC74D" w14:textId="77777777" w:rsidR="001F348B" w:rsidRPr="001F348B" w:rsidRDefault="001F348B" w:rsidP="001F348B">
      <w:pPr>
        <w:jc w:val="both"/>
      </w:pPr>
      <w:r w:rsidRPr="001F348B">
        <w:lastRenderedPageBreak/>
        <w:t> </w:t>
      </w:r>
    </w:p>
    <w:p w14:paraId="4A66AD76" w14:textId="77777777" w:rsidR="001F348B" w:rsidRDefault="001F348B" w:rsidP="001F348B">
      <w:pPr>
        <w:jc w:val="both"/>
        <w:rPr>
          <w:b/>
          <w:bCs/>
        </w:rPr>
      </w:pPr>
      <w:r w:rsidRPr="001F348B">
        <w:t>A)   Olivia e Marcos podem ser chamados a contribuir com a subsistência de Catarina? A obrigação deve recair em Olivia e Marcos de forma paritária? </w:t>
      </w:r>
      <w:r w:rsidRPr="001F348B">
        <w:rPr>
          <w:b/>
          <w:bCs/>
        </w:rPr>
        <w:t>(Valor: 0,65)</w:t>
      </w:r>
    </w:p>
    <w:p w14:paraId="0B1AD38A" w14:textId="15B2DB3D" w:rsidR="001F348B" w:rsidRPr="001F348B" w:rsidRDefault="000B7444" w:rsidP="001F348B">
      <w:pPr>
        <w:jc w:val="both"/>
      </w:pPr>
      <w:r w:rsidRPr="000B7444">
        <w:t xml:space="preserve">GABARITO: </w:t>
      </w:r>
      <w:r w:rsidR="001F348B" w:rsidRPr="001F348B">
        <w:t xml:space="preserve">O direito à prestação de alimentos se estende aos ascendentes, nos termos do Art. 1.696 do CC. Embora os parentes em linha colateral possam ser chamados a responder pelos alimentos, essa responsabilidade apenas incide na falta dos </w:t>
      </w:r>
      <w:proofErr w:type="spellStart"/>
      <w:r w:rsidR="001F348B" w:rsidRPr="001F348B">
        <w:t>ascedentes</w:t>
      </w:r>
      <w:proofErr w:type="spellEnd"/>
      <w:r w:rsidR="001F348B" w:rsidRPr="001F348B">
        <w:t xml:space="preserve"> (Art. 1.697 do CC), sendo subsidiária, e devida na proporção dos seus recursos. Como Olívia possui condições financeiras, será a responsável pelos alimentos que seriam devidos por Jorge. Assim, havendo possibilidade de alimentos avoengos, não subsiste responsabilidade de Marcos, colateral.</w:t>
      </w:r>
    </w:p>
    <w:p w14:paraId="60197590" w14:textId="099174F3" w:rsidR="001F348B" w:rsidRPr="001F348B" w:rsidRDefault="001F348B" w:rsidP="001F348B">
      <w:pPr>
        <w:jc w:val="both"/>
      </w:pPr>
    </w:p>
    <w:p w14:paraId="4BBFEC27" w14:textId="77777777" w:rsidR="001F348B" w:rsidRPr="001F348B" w:rsidRDefault="001F348B" w:rsidP="001F348B">
      <w:pPr>
        <w:jc w:val="both"/>
      </w:pPr>
      <w:r w:rsidRPr="001F348B">
        <w:t>B)   Quais as medidas judiciais cabíveis para resguardar o direito de subsistência de Catarina, considerando a necessidade de obter com urgência provimento que garanta esse direito? </w:t>
      </w:r>
      <w:r w:rsidRPr="001F348B">
        <w:rPr>
          <w:b/>
          <w:bCs/>
        </w:rPr>
        <w:t>(Valor: 0,60)</w:t>
      </w:r>
    </w:p>
    <w:p w14:paraId="65B60547" w14:textId="2915F1F9" w:rsidR="001F348B" w:rsidRPr="001F348B" w:rsidRDefault="000B7444" w:rsidP="001F348B">
      <w:pPr>
        <w:jc w:val="both"/>
      </w:pPr>
      <w:r w:rsidRPr="000B7444">
        <w:t xml:space="preserve">GABARITO: </w:t>
      </w:r>
      <w:r w:rsidR="001F348B" w:rsidRPr="001F348B">
        <w:t>Catarina, representada por sua mãe, pode propor ação de alimentos em face de Olívia, postulando a concessão de alimentos provisórios, com base nos artigos 1º a 3º da Lei nº 5.478/68 e no Art. 693, parágrafo único, do CPC/15. Catarina também pode propor tutela provisória de urgência em caráter antecedente, visando à obtenção dos alimentos, com base no Art. 303 do CPC/15.</w:t>
      </w:r>
    </w:p>
    <w:p w14:paraId="69DEB71D" w14:textId="31D47A5F" w:rsidR="001F348B" w:rsidRPr="000B7444" w:rsidRDefault="001F348B" w:rsidP="001F348B">
      <w:pPr>
        <w:jc w:val="both"/>
      </w:pPr>
      <w:r w:rsidRPr="001F348B">
        <w:t> </w:t>
      </w:r>
    </w:p>
    <w:tbl>
      <w:tblPr>
        <w:tblW w:w="0" w:type="auto"/>
        <w:tblCellMar>
          <w:left w:w="0" w:type="dxa"/>
          <w:right w:w="0" w:type="dxa"/>
        </w:tblCellMar>
        <w:tblLook w:val="04A0" w:firstRow="1" w:lastRow="0" w:firstColumn="1" w:lastColumn="0" w:noHBand="0" w:noVBand="1"/>
      </w:tblPr>
      <w:tblGrid>
        <w:gridCol w:w="6951"/>
        <w:gridCol w:w="1543"/>
      </w:tblGrid>
      <w:tr w:rsidR="001F348B" w:rsidRPr="001F348B" w14:paraId="5234F4BE" w14:textId="77777777">
        <w:tc>
          <w:tcPr>
            <w:tcW w:w="0" w:type="auto"/>
            <w:tcBorders>
              <w:top w:val="single" w:sz="8" w:space="0" w:color="auto"/>
              <w:left w:val="nil"/>
              <w:bottom w:val="single" w:sz="8" w:space="0" w:color="auto"/>
              <w:right w:val="nil"/>
            </w:tcBorders>
            <w:shd w:val="clear" w:color="auto" w:fill="943634"/>
            <w:tcMar>
              <w:top w:w="53" w:type="dxa"/>
              <w:left w:w="0" w:type="dxa"/>
              <w:bottom w:w="0" w:type="dxa"/>
              <w:right w:w="20" w:type="dxa"/>
            </w:tcMar>
            <w:vAlign w:val="center"/>
            <w:hideMark/>
          </w:tcPr>
          <w:p w14:paraId="2023C248" w14:textId="77777777" w:rsidR="001F348B" w:rsidRPr="001F348B" w:rsidRDefault="001F348B" w:rsidP="001F348B">
            <w:pPr>
              <w:jc w:val="both"/>
            </w:pPr>
            <w:r w:rsidRPr="001F348B">
              <w:rPr>
                <w:b/>
                <w:bCs/>
              </w:rPr>
              <w:t>ITEM </w:t>
            </w:r>
          </w:p>
        </w:tc>
        <w:tc>
          <w:tcPr>
            <w:tcW w:w="0" w:type="auto"/>
            <w:tcBorders>
              <w:top w:val="single" w:sz="8" w:space="0" w:color="auto"/>
              <w:left w:val="nil"/>
              <w:bottom w:val="single" w:sz="8" w:space="0" w:color="auto"/>
              <w:right w:val="single" w:sz="8" w:space="0" w:color="auto"/>
            </w:tcBorders>
            <w:shd w:val="clear" w:color="auto" w:fill="943634"/>
            <w:tcMar>
              <w:top w:w="53" w:type="dxa"/>
              <w:left w:w="0" w:type="dxa"/>
              <w:bottom w:w="0" w:type="dxa"/>
              <w:right w:w="20" w:type="dxa"/>
            </w:tcMar>
            <w:vAlign w:val="center"/>
            <w:hideMark/>
          </w:tcPr>
          <w:p w14:paraId="16E10978" w14:textId="77777777" w:rsidR="001F348B" w:rsidRPr="001F348B" w:rsidRDefault="001F348B" w:rsidP="001F348B">
            <w:pPr>
              <w:jc w:val="both"/>
            </w:pPr>
            <w:r w:rsidRPr="001F348B">
              <w:rPr>
                <w:b/>
                <w:bCs/>
              </w:rPr>
              <w:t>PONTUAÇÃO</w:t>
            </w:r>
          </w:p>
        </w:tc>
      </w:tr>
      <w:tr w:rsidR="001F348B" w:rsidRPr="001F348B" w14:paraId="760DAB64" w14:textId="77777777">
        <w:tc>
          <w:tcPr>
            <w:tcW w:w="0" w:type="auto"/>
            <w:tcBorders>
              <w:top w:val="nil"/>
              <w:left w:val="single" w:sz="8" w:space="0" w:color="auto"/>
              <w:bottom w:val="single" w:sz="8" w:space="0" w:color="auto"/>
              <w:right w:val="single" w:sz="8" w:space="0" w:color="auto"/>
            </w:tcBorders>
            <w:tcMar>
              <w:top w:w="53" w:type="dxa"/>
              <w:left w:w="0" w:type="dxa"/>
              <w:bottom w:w="0" w:type="dxa"/>
              <w:right w:w="20" w:type="dxa"/>
            </w:tcMar>
            <w:hideMark/>
          </w:tcPr>
          <w:p w14:paraId="549E070C" w14:textId="77777777" w:rsidR="001F348B" w:rsidRPr="001F348B" w:rsidRDefault="001F348B" w:rsidP="001F348B">
            <w:pPr>
              <w:jc w:val="both"/>
            </w:pPr>
            <w:r w:rsidRPr="001F348B">
              <w:t xml:space="preserve">A1. Sim. O direito à prestação de alimentos se estende à ascendente (Olívia), embora o irmão Marcos, parente em linha colateral, possa ser chamado a responder pelos alimentos, na falta de ascendentes (0,25), nos termos dos </w:t>
            </w:r>
            <w:proofErr w:type="spellStart"/>
            <w:r w:rsidRPr="001F348B">
              <w:t>arts</w:t>
            </w:r>
            <w:proofErr w:type="spellEnd"/>
            <w:r w:rsidRPr="001F348B">
              <w:t>.</w:t>
            </w:r>
          </w:p>
          <w:p w14:paraId="4D813206" w14:textId="77777777" w:rsidR="001F348B" w:rsidRPr="001F348B" w:rsidRDefault="001F348B" w:rsidP="001F348B">
            <w:pPr>
              <w:jc w:val="both"/>
            </w:pPr>
            <w:r w:rsidRPr="001F348B">
              <w:t>1.696 </w:t>
            </w:r>
            <w:r w:rsidRPr="001F348B">
              <w:rPr>
                <w:b/>
                <w:bCs/>
                <w:u w:val="single"/>
              </w:rPr>
              <w:t>c/c</w:t>
            </w:r>
            <w:r w:rsidRPr="001F348B">
              <w:t> 1.697 do CC. (0,10).</w:t>
            </w:r>
          </w:p>
          <w:p w14:paraId="7068E1C6" w14:textId="77777777" w:rsidR="001F348B" w:rsidRPr="001F348B" w:rsidRDefault="001F348B" w:rsidP="001F348B">
            <w:pPr>
              <w:jc w:val="both"/>
            </w:pPr>
            <w:r w:rsidRPr="001F348B">
              <w:t> </w:t>
            </w:r>
          </w:p>
          <w:p w14:paraId="02AA61B8" w14:textId="77777777" w:rsidR="001F348B" w:rsidRPr="001F348B" w:rsidRDefault="001F348B" w:rsidP="001F348B">
            <w:pPr>
              <w:jc w:val="both"/>
            </w:pPr>
            <w:r w:rsidRPr="001F348B">
              <w:rPr>
                <w:b/>
                <w:bCs/>
                <w:u w:val="single"/>
              </w:rPr>
              <w:t>OU</w:t>
            </w:r>
          </w:p>
          <w:p w14:paraId="5D737BD3" w14:textId="77777777" w:rsidR="001F348B" w:rsidRPr="001F348B" w:rsidRDefault="001F348B" w:rsidP="001F348B">
            <w:pPr>
              <w:jc w:val="both"/>
            </w:pPr>
            <w:r w:rsidRPr="001F348B">
              <w:t> </w:t>
            </w:r>
          </w:p>
          <w:p w14:paraId="32623F66" w14:textId="77777777" w:rsidR="001F348B" w:rsidRPr="001F348B" w:rsidRDefault="001F348B" w:rsidP="001F348B">
            <w:pPr>
              <w:jc w:val="both"/>
            </w:pPr>
            <w:r w:rsidRPr="001F348B">
              <w:t xml:space="preserve">Não. Havendo possibilidade de alimentos avoengos, não subsiste responsabilidade de Marcos, colateral (0,25), nos termos dos </w:t>
            </w:r>
            <w:proofErr w:type="spellStart"/>
            <w:r w:rsidRPr="001F348B">
              <w:t>arts</w:t>
            </w:r>
            <w:proofErr w:type="spellEnd"/>
            <w:r w:rsidRPr="001F348B">
              <w:t>. 1.696 </w:t>
            </w:r>
            <w:r w:rsidRPr="001F348B">
              <w:rPr>
                <w:b/>
                <w:bCs/>
                <w:u w:val="single"/>
              </w:rPr>
              <w:t>c/c</w:t>
            </w:r>
            <w:r w:rsidRPr="001F348B">
              <w:t> 1.697 do CC. (0,10).</w:t>
            </w:r>
          </w:p>
          <w:p w14:paraId="7E26EC31" w14:textId="77777777" w:rsidR="001F348B" w:rsidRPr="001F348B" w:rsidRDefault="001F348B" w:rsidP="001F348B">
            <w:pPr>
              <w:jc w:val="both"/>
            </w:pPr>
            <w:r w:rsidRPr="001F348B">
              <w:t> </w:t>
            </w:r>
          </w:p>
        </w:tc>
        <w:tc>
          <w:tcPr>
            <w:tcW w:w="0" w:type="auto"/>
            <w:tcBorders>
              <w:top w:val="nil"/>
              <w:left w:val="nil"/>
              <w:bottom w:val="single" w:sz="8" w:space="0" w:color="auto"/>
              <w:right w:val="single" w:sz="8" w:space="0" w:color="auto"/>
            </w:tcBorders>
            <w:tcMar>
              <w:top w:w="53" w:type="dxa"/>
              <w:left w:w="0" w:type="dxa"/>
              <w:bottom w:w="0" w:type="dxa"/>
              <w:right w:w="20" w:type="dxa"/>
            </w:tcMar>
            <w:hideMark/>
          </w:tcPr>
          <w:p w14:paraId="36400039" w14:textId="77777777" w:rsidR="001F348B" w:rsidRPr="001F348B" w:rsidRDefault="001F348B" w:rsidP="001F348B">
            <w:pPr>
              <w:jc w:val="both"/>
            </w:pPr>
            <w:r w:rsidRPr="001F348B">
              <w:t> </w:t>
            </w:r>
          </w:p>
          <w:p w14:paraId="50555E40" w14:textId="77777777" w:rsidR="001F348B" w:rsidRPr="001F348B" w:rsidRDefault="001F348B" w:rsidP="001F348B">
            <w:pPr>
              <w:jc w:val="both"/>
            </w:pPr>
            <w:r w:rsidRPr="001F348B">
              <w:t>0,00/0,25/0,35</w:t>
            </w:r>
          </w:p>
        </w:tc>
      </w:tr>
      <w:tr w:rsidR="001F348B" w:rsidRPr="001F348B" w14:paraId="5C3BEDDE" w14:textId="77777777">
        <w:tc>
          <w:tcPr>
            <w:tcW w:w="0" w:type="auto"/>
            <w:tcBorders>
              <w:top w:val="nil"/>
              <w:left w:val="single" w:sz="8" w:space="0" w:color="auto"/>
              <w:bottom w:val="single" w:sz="8" w:space="0" w:color="auto"/>
              <w:right w:val="single" w:sz="8" w:space="0" w:color="auto"/>
            </w:tcBorders>
            <w:tcMar>
              <w:top w:w="53" w:type="dxa"/>
              <w:left w:w="0" w:type="dxa"/>
              <w:bottom w:w="0" w:type="dxa"/>
              <w:right w:w="20" w:type="dxa"/>
            </w:tcMar>
            <w:hideMark/>
          </w:tcPr>
          <w:p w14:paraId="05751BFC" w14:textId="77777777" w:rsidR="001F348B" w:rsidRPr="001F348B" w:rsidRDefault="001F348B" w:rsidP="001F348B">
            <w:pPr>
              <w:jc w:val="both"/>
            </w:pPr>
            <w:r w:rsidRPr="001F348B">
              <w:t>A2. Não. Na hipótese de existir o dever alimentar de Marcos, sua responsabilidade é </w:t>
            </w:r>
            <w:r w:rsidRPr="001F348B">
              <w:rPr>
                <w:b/>
                <w:bCs/>
              </w:rPr>
              <w:t>subsidiária</w:t>
            </w:r>
            <w:r w:rsidRPr="001F348B">
              <w:t> (0,20), nos termos do art. 1.698 do CC (0,10).</w:t>
            </w:r>
          </w:p>
        </w:tc>
        <w:tc>
          <w:tcPr>
            <w:tcW w:w="0" w:type="auto"/>
            <w:tcBorders>
              <w:top w:val="nil"/>
              <w:left w:val="nil"/>
              <w:bottom w:val="single" w:sz="8" w:space="0" w:color="auto"/>
              <w:right w:val="single" w:sz="8" w:space="0" w:color="auto"/>
            </w:tcBorders>
            <w:tcMar>
              <w:top w:w="53" w:type="dxa"/>
              <w:left w:w="0" w:type="dxa"/>
              <w:bottom w:w="0" w:type="dxa"/>
              <w:right w:w="20" w:type="dxa"/>
            </w:tcMar>
            <w:vAlign w:val="center"/>
            <w:hideMark/>
          </w:tcPr>
          <w:p w14:paraId="78BF4160" w14:textId="77777777" w:rsidR="001F348B" w:rsidRPr="001F348B" w:rsidRDefault="001F348B" w:rsidP="001F348B">
            <w:pPr>
              <w:jc w:val="both"/>
            </w:pPr>
            <w:r w:rsidRPr="001F348B">
              <w:t>0,00/0,20/0,30</w:t>
            </w:r>
          </w:p>
        </w:tc>
      </w:tr>
      <w:tr w:rsidR="001F348B" w:rsidRPr="001F348B" w14:paraId="332C135D" w14:textId="77777777">
        <w:tc>
          <w:tcPr>
            <w:tcW w:w="0" w:type="auto"/>
            <w:tcBorders>
              <w:top w:val="nil"/>
              <w:left w:val="single" w:sz="8" w:space="0" w:color="auto"/>
              <w:bottom w:val="single" w:sz="8" w:space="0" w:color="auto"/>
              <w:right w:val="single" w:sz="8" w:space="0" w:color="auto"/>
            </w:tcBorders>
            <w:tcMar>
              <w:top w:w="53" w:type="dxa"/>
              <w:left w:w="0" w:type="dxa"/>
              <w:bottom w:w="0" w:type="dxa"/>
              <w:right w:w="20" w:type="dxa"/>
            </w:tcMar>
            <w:hideMark/>
          </w:tcPr>
          <w:p w14:paraId="0221505E" w14:textId="77777777" w:rsidR="001F348B" w:rsidRPr="001F348B" w:rsidRDefault="001F348B" w:rsidP="001F348B">
            <w:pPr>
              <w:jc w:val="both"/>
            </w:pPr>
            <w:r w:rsidRPr="001F348B">
              <w:t>B. Pode ser proposta </w:t>
            </w:r>
            <w:r w:rsidRPr="001F348B">
              <w:rPr>
                <w:b/>
                <w:bCs/>
              </w:rPr>
              <w:t>ação de alimentos</w:t>
            </w:r>
            <w:r w:rsidRPr="001F348B">
              <w:t> em face de sua avó Olívia, postulando a concessão de alimentos provisórios (0,50), com fundamento na Lei nº 5.478/68 </w:t>
            </w:r>
            <w:r w:rsidRPr="001F348B">
              <w:rPr>
                <w:b/>
                <w:bCs/>
              </w:rPr>
              <w:t>OU</w:t>
            </w:r>
            <w:r w:rsidRPr="001F348B">
              <w:t> com fundamento na tutela provisória com base no art. 300 e/ou 303 do CPC/15. (0,10).</w:t>
            </w:r>
          </w:p>
          <w:p w14:paraId="5314DD25" w14:textId="77777777" w:rsidR="001F348B" w:rsidRPr="001F348B" w:rsidRDefault="001F348B" w:rsidP="001F348B">
            <w:pPr>
              <w:jc w:val="both"/>
            </w:pPr>
            <w:r w:rsidRPr="001F348B">
              <w:t> </w:t>
            </w:r>
          </w:p>
        </w:tc>
        <w:tc>
          <w:tcPr>
            <w:tcW w:w="0" w:type="auto"/>
            <w:tcBorders>
              <w:top w:val="nil"/>
              <w:left w:val="nil"/>
              <w:bottom w:val="single" w:sz="8" w:space="0" w:color="auto"/>
              <w:right w:val="single" w:sz="8" w:space="0" w:color="auto"/>
            </w:tcBorders>
            <w:tcMar>
              <w:top w:w="53" w:type="dxa"/>
              <w:left w:w="0" w:type="dxa"/>
              <w:bottom w:w="0" w:type="dxa"/>
              <w:right w:w="20" w:type="dxa"/>
            </w:tcMar>
            <w:vAlign w:val="center"/>
            <w:hideMark/>
          </w:tcPr>
          <w:p w14:paraId="6274BAB8" w14:textId="77777777" w:rsidR="001F348B" w:rsidRPr="001F348B" w:rsidRDefault="001F348B" w:rsidP="001F348B">
            <w:pPr>
              <w:jc w:val="both"/>
            </w:pPr>
            <w:r w:rsidRPr="001F348B">
              <w:t>0,00/0,50/0,60</w:t>
            </w:r>
          </w:p>
        </w:tc>
      </w:tr>
    </w:tbl>
    <w:p w14:paraId="3CEFAD8D" w14:textId="77777777" w:rsidR="001F348B" w:rsidRPr="001F348B" w:rsidRDefault="001F348B" w:rsidP="001F348B">
      <w:pPr>
        <w:jc w:val="both"/>
      </w:pPr>
      <w:r w:rsidRPr="001F348B">
        <w:rPr>
          <w:b/>
          <w:bCs/>
        </w:rPr>
        <w:t> </w:t>
      </w:r>
    </w:p>
    <w:p w14:paraId="1463C2F5" w14:textId="523FC8F6" w:rsidR="001F348B" w:rsidRPr="001F348B" w:rsidRDefault="001F348B" w:rsidP="001F348B">
      <w:pPr>
        <w:jc w:val="both"/>
      </w:pPr>
      <w:r w:rsidRPr="001F348B">
        <w:rPr>
          <w:b/>
          <w:bCs/>
        </w:rPr>
        <w:t>Questão 2</w:t>
      </w:r>
      <w:r w:rsidR="000B7444">
        <w:t xml:space="preserve">: </w:t>
      </w:r>
      <w:r w:rsidRPr="001F348B">
        <w:t xml:space="preserve">Marcos estacionou seu automóvel diante de um prédio de apartamentos. Pouco depois, um vaso de plantas caiu da janela de uma das unidades e atingiu o veículo, danificando o para-brisa e parte da lataria. Não foi </w:t>
      </w:r>
      <w:r w:rsidRPr="001F348B">
        <w:lastRenderedPageBreak/>
        <w:t>possível identificar de qual das unidades caiu o objeto. O automóvel era importado, de modo que seu reparo foi custoso e demorou cerca de dez meses. </w:t>
      </w:r>
      <w:r w:rsidR="000B7444">
        <w:t xml:space="preserve"> </w:t>
      </w:r>
      <w:r w:rsidRPr="001F348B">
        <w:t>Dois anos e meio depois da saída do automóvel da oficina, Marcos ajuíza ação indenizatória em face do condomínio do edifício.</w:t>
      </w:r>
      <w:r w:rsidR="000B7444">
        <w:t xml:space="preserve"> </w:t>
      </w:r>
      <w:r w:rsidRPr="001F348B">
        <w:t>De acordo com o caso acima narrado, responda fundamentadamente às questões a seguir.</w:t>
      </w:r>
    </w:p>
    <w:p w14:paraId="523AFB8F" w14:textId="77777777" w:rsidR="001F348B" w:rsidRDefault="001F348B" w:rsidP="001F348B">
      <w:pPr>
        <w:jc w:val="both"/>
      </w:pPr>
      <w:r w:rsidRPr="001F348B">
        <w:t> </w:t>
      </w:r>
    </w:p>
    <w:p w14:paraId="3BD16C86" w14:textId="77777777" w:rsidR="001F348B" w:rsidRPr="001F348B" w:rsidRDefault="001F348B" w:rsidP="001F348B">
      <w:pPr>
        <w:jc w:val="both"/>
      </w:pPr>
      <w:r w:rsidRPr="001F348B">
        <w:t>A)   Considerando que o vaso de plantas caiu da janela de apenas um dos apartamentos, pode o condomínio alegar fato exclusivo de terceiro para se eximir do dever de indenizar? (</w:t>
      </w:r>
      <w:r w:rsidRPr="001F348B">
        <w:rPr>
          <w:b/>
          <w:bCs/>
        </w:rPr>
        <w:t>Valor: 0,60)</w:t>
      </w:r>
    </w:p>
    <w:p w14:paraId="12DE2DD7" w14:textId="2394D622" w:rsidR="001F348B" w:rsidRPr="001F348B" w:rsidRDefault="000B7444" w:rsidP="001F348B">
      <w:pPr>
        <w:jc w:val="both"/>
      </w:pPr>
      <w:r w:rsidRPr="000B7444">
        <w:t xml:space="preserve">GABARITO: </w:t>
      </w:r>
      <w:r>
        <w:t xml:space="preserve"> </w:t>
      </w:r>
      <w:r w:rsidR="001F348B" w:rsidRPr="001F348B">
        <w:t>Trata-se de hipótese da chamada </w:t>
      </w:r>
      <w:r w:rsidR="001F348B" w:rsidRPr="001F348B">
        <w:rPr>
          <w:i/>
          <w:iCs/>
        </w:rPr>
        <w:t>causalidade alternativa</w:t>
      </w:r>
      <w:r w:rsidR="001F348B" w:rsidRPr="001F348B">
        <w:t>, em que é possível saber que um ou alguns dos membros de um grupo determinado de pessoas deu causa ao dano, mas não é possível identificar o efetivo causador. No caso específico, não sendo possível identificar, desde logo, o apartamento de onde efetivamente caiu o objeto, o legislador autoriza expressamente a responsabilização de todos os condôminos, nos termos do Art. 938 do Código Civil, ao prever a imputabilidade não apenas do único morador do prédio como também do morador de parte da edificação.</w:t>
      </w:r>
    </w:p>
    <w:p w14:paraId="6C3D26C5" w14:textId="70914913" w:rsidR="001F348B" w:rsidRPr="001F348B" w:rsidRDefault="001F348B" w:rsidP="001F348B">
      <w:pPr>
        <w:jc w:val="both"/>
      </w:pPr>
    </w:p>
    <w:p w14:paraId="01054875" w14:textId="77777777" w:rsidR="001F348B" w:rsidRPr="001F348B" w:rsidRDefault="001F348B" w:rsidP="001F348B">
      <w:pPr>
        <w:jc w:val="both"/>
      </w:pPr>
      <w:r w:rsidRPr="001F348B">
        <w:t>B)   Após a contestação, ao perceber que a pretensão de Marcos está prescrita, pode o juiz conhecer de ofício dessa prescrição se nenhuma das partes tiver se manifestado a respeito? </w:t>
      </w:r>
      <w:r w:rsidRPr="001F348B">
        <w:rPr>
          <w:b/>
          <w:bCs/>
        </w:rPr>
        <w:t>(Valor: 0,65)</w:t>
      </w:r>
    </w:p>
    <w:p w14:paraId="72545263" w14:textId="7BB0C1D8" w:rsidR="001F348B" w:rsidRPr="000B7444" w:rsidRDefault="001F348B" w:rsidP="001F348B">
      <w:pPr>
        <w:jc w:val="both"/>
        <w:rPr>
          <w:i/>
          <w:iCs/>
        </w:rPr>
      </w:pPr>
      <w:r w:rsidRPr="001F348B">
        <w:rPr>
          <w:i/>
          <w:iCs/>
        </w:rPr>
        <w:t> </w:t>
      </w:r>
      <w:r w:rsidR="000B7444" w:rsidRPr="000B7444">
        <w:rPr>
          <w:i/>
          <w:iCs/>
        </w:rPr>
        <w:t xml:space="preserve">GABARITO: </w:t>
      </w:r>
      <w:r w:rsidRPr="001F348B">
        <w:t>A pretensão encontra-se prescrita, aplicando-se à hipótese o prazo trienal previsto pelo Art. 206, § 3º, inciso V, do Código Civil, contado da data do evento danoso. Trata-se de matéria que pode ser conhecida de ofício pelo julgador (Art. 487, inciso II, do CPC/15). No entanto, após a contestação da lide pelo réu, não se autoriza ao juiz conhecer da prescrição sem antes oportunizar a manifestação das partes, em homenagem ao princípio da não</w:t>
      </w:r>
      <w:r w:rsidR="000B7444">
        <w:t xml:space="preserve"> </w:t>
      </w:r>
      <w:r w:rsidRPr="001F348B">
        <w:t>surpresa (Art. 10 ou Art.487, parágrafo único, ambos do CPC/15).</w:t>
      </w:r>
    </w:p>
    <w:p w14:paraId="27E9844C" w14:textId="6636BA5A" w:rsidR="001F348B" w:rsidRDefault="001F348B" w:rsidP="001F348B">
      <w:pPr>
        <w:jc w:val="both"/>
        <w:rPr>
          <w:b/>
          <w:bCs/>
        </w:rPr>
      </w:pPr>
    </w:p>
    <w:p w14:paraId="4F6F4B83" w14:textId="77777777" w:rsidR="000B7444" w:rsidRPr="001F348B" w:rsidRDefault="000B7444" w:rsidP="001F348B">
      <w:pPr>
        <w:jc w:val="both"/>
        <w:rPr>
          <w:b/>
          <w:bCs/>
        </w:rPr>
      </w:pPr>
    </w:p>
    <w:tbl>
      <w:tblPr>
        <w:tblW w:w="0" w:type="auto"/>
        <w:tblCellMar>
          <w:left w:w="0" w:type="dxa"/>
          <w:right w:w="0" w:type="dxa"/>
        </w:tblCellMar>
        <w:tblLook w:val="04A0" w:firstRow="1" w:lastRow="0" w:firstColumn="1" w:lastColumn="0" w:noHBand="0" w:noVBand="1"/>
      </w:tblPr>
      <w:tblGrid>
        <w:gridCol w:w="6880"/>
        <w:gridCol w:w="1614"/>
      </w:tblGrid>
      <w:tr w:rsidR="001F348B" w:rsidRPr="001F348B" w14:paraId="4DB1D2E7" w14:textId="77777777">
        <w:tc>
          <w:tcPr>
            <w:tcW w:w="0" w:type="auto"/>
            <w:tcBorders>
              <w:top w:val="single" w:sz="8" w:space="0" w:color="auto"/>
              <w:left w:val="nil"/>
              <w:bottom w:val="single" w:sz="8" w:space="0" w:color="auto"/>
              <w:right w:val="nil"/>
            </w:tcBorders>
            <w:shd w:val="clear" w:color="auto" w:fill="943634"/>
            <w:tcMar>
              <w:top w:w="50" w:type="dxa"/>
              <w:left w:w="72" w:type="dxa"/>
              <w:bottom w:w="0" w:type="dxa"/>
              <w:right w:w="19" w:type="dxa"/>
            </w:tcMar>
            <w:vAlign w:val="center"/>
            <w:hideMark/>
          </w:tcPr>
          <w:p w14:paraId="4485137A" w14:textId="77777777" w:rsidR="001F348B" w:rsidRPr="001F348B" w:rsidRDefault="001F348B" w:rsidP="001F348B">
            <w:pPr>
              <w:jc w:val="both"/>
            </w:pPr>
            <w:r w:rsidRPr="001F348B">
              <w:rPr>
                <w:b/>
                <w:bCs/>
              </w:rPr>
              <w:t>ITEM </w:t>
            </w:r>
          </w:p>
        </w:tc>
        <w:tc>
          <w:tcPr>
            <w:tcW w:w="0" w:type="auto"/>
            <w:tcBorders>
              <w:top w:val="single" w:sz="8" w:space="0" w:color="auto"/>
              <w:left w:val="nil"/>
              <w:bottom w:val="single" w:sz="8" w:space="0" w:color="auto"/>
              <w:right w:val="single" w:sz="8" w:space="0" w:color="auto"/>
            </w:tcBorders>
            <w:shd w:val="clear" w:color="auto" w:fill="943634"/>
            <w:tcMar>
              <w:top w:w="50" w:type="dxa"/>
              <w:left w:w="72" w:type="dxa"/>
              <w:bottom w:w="0" w:type="dxa"/>
              <w:right w:w="19" w:type="dxa"/>
            </w:tcMar>
            <w:vAlign w:val="center"/>
            <w:hideMark/>
          </w:tcPr>
          <w:p w14:paraId="40490E2E" w14:textId="77777777" w:rsidR="001F348B" w:rsidRPr="001F348B" w:rsidRDefault="001F348B" w:rsidP="001F348B">
            <w:pPr>
              <w:jc w:val="both"/>
            </w:pPr>
            <w:r w:rsidRPr="001F348B">
              <w:rPr>
                <w:b/>
                <w:bCs/>
              </w:rPr>
              <w:t>PONTUAÇÃO</w:t>
            </w:r>
          </w:p>
        </w:tc>
      </w:tr>
      <w:tr w:rsidR="001F348B" w:rsidRPr="001F348B" w14:paraId="4C5CA5E5" w14:textId="77777777">
        <w:tc>
          <w:tcPr>
            <w:tcW w:w="0" w:type="auto"/>
            <w:tcBorders>
              <w:top w:val="nil"/>
              <w:left w:val="single" w:sz="8" w:space="0" w:color="auto"/>
              <w:bottom w:val="single" w:sz="8" w:space="0" w:color="auto"/>
              <w:right w:val="single" w:sz="8" w:space="0" w:color="auto"/>
            </w:tcBorders>
            <w:tcMar>
              <w:top w:w="50" w:type="dxa"/>
              <w:left w:w="72" w:type="dxa"/>
              <w:bottom w:w="0" w:type="dxa"/>
              <w:right w:w="19" w:type="dxa"/>
            </w:tcMar>
            <w:hideMark/>
          </w:tcPr>
          <w:p w14:paraId="39F4B9BE" w14:textId="77777777" w:rsidR="001F348B" w:rsidRPr="001F348B" w:rsidRDefault="001F348B" w:rsidP="001F348B">
            <w:pPr>
              <w:jc w:val="both"/>
            </w:pPr>
            <w:r w:rsidRPr="001F348B">
              <w:t>A. Não. Admite-se a responsabilização de todos os moradores quando não se puder identificar a origem do objeto (0,50), como autoriza o Art. 938 do Código Civil (0,10).</w:t>
            </w:r>
          </w:p>
        </w:tc>
        <w:tc>
          <w:tcPr>
            <w:tcW w:w="0" w:type="auto"/>
            <w:tcBorders>
              <w:top w:val="nil"/>
              <w:left w:val="nil"/>
              <w:bottom w:val="single" w:sz="8" w:space="0" w:color="auto"/>
              <w:right w:val="single" w:sz="8" w:space="0" w:color="auto"/>
            </w:tcBorders>
            <w:tcMar>
              <w:top w:w="50" w:type="dxa"/>
              <w:left w:w="72" w:type="dxa"/>
              <w:bottom w:w="0" w:type="dxa"/>
              <w:right w:w="19" w:type="dxa"/>
            </w:tcMar>
            <w:vAlign w:val="center"/>
            <w:hideMark/>
          </w:tcPr>
          <w:p w14:paraId="7C866EFC" w14:textId="77777777" w:rsidR="001F348B" w:rsidRPr="001F348B" w:rsidRDefault="001F348B" w:rsidP="001F348B">
            <w:pPr>
              <w:jc w:val="both"/>
            </w:pPr>
            <w:r w:rsidRPr="001F348B">
              <w:t>0,00/0,50/0,60</w:t>
            </w:r>
          </w:p>
        </w:tc>
      </w:tr>
      <w:tr w:rsidR="001F348B" w:rsidRPr="001F348B" w14:paraId="50E8AA66" w14:textId="77777777">
        <w:tc>
          <w:tcPr>
            <w:tcW w:w="0" w:type="auto"/>
            <w:tcBorders>
              <w:top w:val="nil"/>
              <w:left w:val="single" w:sz="8" w:space="0" w:color="auto"/>
              <w:bottom w:val="single" w:sz="8" w:space="0" w:color="auto"/>
              <w:right w:val="single" w:sz="8" w:space="0" w:color="auto"/>
            </w:tcBorders>
            <w:tcMar>
              <w:top w:w="50" w:type="dxa"/>
              <w:left w:w="72" w:type="dxa"/>
              <w:bottom w:w="0" w:type="dxa"/>
              <w:right w:w="19" w:type="dxa"/>
            </w:tcMar>
            <w:hideMark/>
          </w:tcPr>
          <w:p w14:paraId="19550ED9" w14:textId="77777777" w:rsidR="001F348B" w:rsidRPr="001F348B" w:rsidRDefault="001F348B" w:rsidP="001F348B">
            <w:pPr>
              <w:jc w:val="both"/>
            </w:pPr>
            <w:r w:rsidRPr="001F348B">
              <w:t>B. Sim, mas deve antes provocar a manifestação das partes, em nome do princípio do contraditório ou da não-surpresa (0,55), nos termos do Art. 10</w:t>
            </w:r>
            <w:r w:rsidRPr="001F348B">
              <w:rPr>
                <w:b/>
                <w:bCs/>
              </w:rPr>
              <w:t> OU</w:t>
            </w:r>
            <w:r w:rsidRPr="001F348B">
              <w:t> do Art. 487, parágrafo único, ambos do CPC/15 (0,10).</w:t>
            </w:r>
          </w:p>
        </w:tc>
        <w:tc>
          <w:tcPr>
            <w:tcW w:w="0" w:type="auto"/>
            <w:tcBorders>
              <w:top w:val="nil"/>
              <w:left w:val="nil"/>
              <w:bottom w:val="single" w:sz="8" w:space="0" w:color="auto"/>
              <w:right w:val="single" w:sz="8" w:space="0" w:color="auto"/>
            </w:tcBorders>
            <w:tcMar>
              <w:top w:w="50" w:type="dxa"/>
              <w:left w:w="72" w:type="dxa"/>
              <w:bottom w:w="0" w:type="dxa"/>
              <w:right w:w="19" w:type="dxa"/>
            </w:tcMar>
            <w:vAlign w:val="center"/>
            <w:hideMark/>
          </w:tcPr>
          <w:p w14:paraId="6F274756" w14:textId="77777777" w:rsidR="001F348B" w:rsidRPr="001F348B" w:rsidRDefault="001F348B" w:rsidP="001F348B">
            <w:pPr>
              <w:jc w:val="both"/>
            </w:pPr>
            <w:r w:rsidRPr="001F348B">
              <w:t>0,00/0,55/0,65</w:t>
            </w:r>
          </w:p>
        </w:tc>
      </w:tr>
    </w:tbl>
    <w:p w14:paraId="0D82D874" w14:textId="6FB69209" w:rsidR="000B7444" w:rsidRDefault="001F348B" w:rsidP="001F348B">
      <w:pPr>
        <w:jc w:val="both"/>
      </w:pPr>
      <w:r w:rsidRPr="001F348B">
        <w:t> </w:t>
      </w:r>
    </w:p>
    <w:p w14:paraId="19E5A90E" w14:textId="45EF46C0" w:rsidR="001F348B" w:rsidRPr="001F348B" w:rsidRDefault="001F348B" w:rsidP="001F348B">
      <w:pPr>
        <w:jc w:val="both"/>
      </w:pPr>
      <w:r w:rsidRPr="001F348B">
        <w:rPr>
          <w:b/>
          <w:bCs/>
        </w:rPr>
        <w:t>Questão 3</w:t>
      </w:r>
      <w:r w:rsidR="000B7444">
        <w:rPr>
          <w:b/>
          <w:bCs/>
        </w:rPr>
        <w:t xml:space="preserve">: </w:t>
      </w:r>
      <w:r w:rsidRPr="001F348B">
        <w:t>Após se aposentar, Álvaro, que mora com sua esposa em Brasília, adquiriu de Valério um imóvel, hipotecado, localizado na cidade do Rio de Janeiro, por meio de escritura pública de cessão de direitos e obrigações. </w:t>
      </w:r>
      <w:r w:rsidR="000B7444">
        <w:t xml:space="preserve"> </w:t>
      </w:r>
      <w:r w:rsidRPr="001F348B">
        <w:t>Com a intenção de extinguir a hipoteca, Álvaro pretende pagar a dívida de Valério, mas encontra obstáculos para realizar o seu desejo, já que a instituição credora hipotecária não participou da aquisição do imóvel e alega que o pagamento não pode ser realizado por pessoa estranha ao vínculo obrigacional. </w:t>
      </w:r>
      <w:r w:rsidR="000B7444">
        <w:t xml:space="preserve"> </w:t>
      </w:r>
      <w:r w:rsidRPr="001F348B">
        <w:t>Diante dessa situação, responda aos itens a seguir.</w:t>
      </w:r>
    </w:p>
    <w:p w14:paraId="1A934A24" w14:textId="77777777" w:rsidR="001F348B" w:rsidRPr="001F348B" w:rsidRDefault="001F348B" w:rsidP="001F348B">
      <w:pPr>
        <w:jc w:val="both"/>
      </w:pPr>
      <w:r w:rsidRPr="001F348B">
        <w:lastRenderedPageBreak/>
        <w:t> </w:t>
      </w:r>
    </w:p>
    <w:p w14:paraId="1F900891" w14:textId="0FBECAAE" w:rsidR="001F348B" w:rsidRDefault="001F348B" w:rsidP="001F348B">
      <w:pPr>
        <w:jc w:val="both"/>
        <w:rPr>
          <w:b/>
          <w:bCs/>
        </w:rPr>
      </w:pPr>
      <w:r w:rsidRPr="001F348B">
        <w:t>A)</w:t>
      </w:r>
      <w:r w:rsidR="000B7444">
        <w:t xml:space="preserve"> </w:t>
      </w:r>
      <w:r w:rsidRPr="001F348B">
        <w:t>Qual é a medida judicial mais adequada para assegurar o interesse de Álvaro?  </w:t>
      </w:r>
      <w:r w:rsidRPr="001F348B">
        <w:rPr>
          <w:b/>
          <w:bCs/>
        </w:rPr>
        <w:t>(Valor: 0,85)</w:t>
      </w:r>
    </w:p>
    <w:p w14:paraId="42A70F8E" w14:textId="20E1C13B" w:rsidR="001F348B" w:rsidRPr="000B7444" w:rsidRDefault="000B7444" w:rsidP="001F348B">
      <w:pPr>
        <w:jc w:val="both"/>
        <w:rPr>
          <w:i/>
          <w:iCs/>
        </w:rPr>
      </w:pPr>
      <w:r w:rsidRPr="000B7444">
        <w:rPr>
          <w:i/>
          <w:iCs/>
        </w:rPr>
        <w:t xml:space="preserve">GABARITO: </w:t>
      </w:r>
      <w:r w:rsidR="001F348B" w:rsidRPr="001F348B">
        <w:t>Álvaro é terceiro interessado no pagamento desta dívida, sendo, portanto, parte legítima para ingressar com uma ação de consignação em pagamento, meio mais adequado conducente à exoneração do devedor, nos termos do Art. 304 do Código Civil.</w:t>
      </w:r>
    </w:p>
    <w:p w14:paraId="73A57312" w14:textId="25722B50" w:rsidR="001F348B" w:rsidRPr="001F348B" w:rsidRDefault="001F348B" w:rsidP="001F348B">
      <w:pPr>
        <w:jc w:val="both"/>
      </w:pPr>
    </w:p>
    <w:p w14:paraId="2D3C75EC" w14:textId="77777777" w:rsidR="001F348B" w:rsidRPr="001F348B" w:rsidRDefault="001F348B" w:rsidP="001F348B">
      <w:pPr>
        <w:jc w:val="both"/>
      </w:pPr>
      <w:r w:rsidRPr="001F348B">
        <w:t>B)  Qual o foro competente para processar e julgar a referida medida?  </w:t>
      </w:r>
      <w:r w:rsidRPr="001F348B">
        <w:rPr>
          <w:b/>
          <w:bCs/>
        </w:rPr>
        <w:t>(Valor: 0,40)</w:t>
      </w:r>
    </w:p>
    <w:p w14:paraId="225DB7AE" w14:textId="67E4AC3E" w:rsidR="001F348B" w:rsidRPr="001F348B" w:rsidRDefault="000B7444" w:rsidP="001F348B">
      <w:pPr>
        <w:jc w:val="both"/>
      </w:pPr>
      <w:r w:rsidRPr="000B7444">
        <w:t xml:space="preserve">GABARITO: </w:t>
      </w:r>
      <w:r w:rsidR="001F348B" w:rsidRPr="001F348B">
        <w:t>O foro competente é o da cidade do Rio de Janeiro, o lugar do pagamento, como prescreve o Artigo 540 do CPC/15. </w:t>
      </w:r>
    </w:p>
    <w:p w14:paraId="005C455D" w14:textId="4AB0A54F" w:rsidR="001F348B" w:rsidRPr="001F348B" w:rsidRDefault="001F348B" w:rsidP="001F348B">
      <w:pPr>
        <w:jc w:val="both"/>
        <w:rPr>
          <w:b/>
          <w:bCs/>
        </w:rPr>
      </w:pPr>
    </w:p>
    <w:tbl>
      <w:tblPr>
        <w:tblW w:w="0" w:type="auto"/>
        <w:tblCellMar>
          <w:left w:w="0" w:type="dxa"/>
          <w:right w:w="0" w:type="dxa"/>
        </w:tblCellMar>
        <w:tblLook w:val="04A0" w:firstRow="1" w:lastRow="0" w:firstColumn="1" w:lastColumn="0" w:noHBand="0" w:noVBand="1"/>
      </w:tblPr>
      <w:tblGrid>
        <w:gridCol w:w="6878"/>
        <w:gridCol w:w="1616"/>
      </w:tblGrid>
      <w:tr w:rsidR="001F348B" w:rsidRPr="001F348B" w14:paraId="70F76C5B" w14:textId="77777777">
        <w:tc>
          <w:tcPr>
            <w:tcW w:w="0" w:type="auto"/>
            <w:tcBorders>
              <w:top w:val="single" w:sz="8" w:space="0" w:color="auto"/>
              <w:left w:val="nil"/>
              <w:bottom w:val="single" w:sz="8" w:space="0" w:color="auto"/>
              <w:right w:val="nil"/>
            </w:tcBorders>
            <w:shd w:val="clear" w:color="auto" w:fill="943634"/>
            <w:tcMar>
              <w:top w:w="50" w:type="dxa"/>
              <w:left w:w="72" w:type="dxa"/>
              <w:bottom w:w="0" w:type="dxa"/>
              <w:right w:w="21" w:type="dxa"/>
            </w:tcMar>
            <w:vAlign w:val="center"/>
            <w:hideMark/>
          </w:tcPr>
          <w:p w14:paraId="6EDDA845" w14:textId="77777777" w:rsidR="001F348B" w:rsidRPr="001F348B" w:rsidRDefault="001F348B" w:rsidP="001F348B">
            <w:pPr>
              <w:jc w:val="both"/>
            </w:pPr>
            <w:r w:rsidRPr="001F348B">
              <w:rPr>
                <w:b/>
                <w:bCs/>
              </w:rPr>
              <w:t>ITEM </w:t>
            </w:r>
          </w:p>
        </w:tc>
        <w:tc>
          <w:tcPr>
            <w:tcW w:w="0" w:type="auto"/>
            <w:tcBorders>
              <w:top w:val="single" w:sz="8" w:space="0" w:color="auto"/>
              <w:left w:val="nil"/>
              <w:bottom w:val="single" w:sz="8" w:space="0" w:color="auto"/>
              <w:right w:val="single" w:sz="8" w:space="0" w:color="auto"/>
            </w:tcBorders>
            <w:shd w:val="clear" w:color="auto" w:fill="943634"/>
            <w:tcMar>
              <w:top w:w="50" w:type="dxa"/>
              <w:left w:w="72" w:type="dxa"/>
              <w:bottom w:w="0" w:type="dxa"/>
              <w:right w:w="21" w:type="dxa"/>
            </w:tcMar>
            <w:vAlign w:val="center"/>
            <w:hideMark/>
          </w:tcPr>
          <w:p w14:paraId="488D54B5" w14:textId="77777777" w:rsidR="001F348B" w:rsidRPr="001F348B" w:rsidRDefault="001F348B" w:rsidP="001F348B">
            <w:pPr>
              <w:jc w:val="both"/>
            </w:pPr>
            <w:r w:rsidRPr="001F348B">
              <w:rPr>
                <w:b/>
                <w:bCs/>
              </w:rPr>
              <w:t>PONTUAÇÃO</w:t>
            </w:r>
          </w:p>
        </w:tc>
      </w:tr>
      <w:tr w:rsidR="001F348B" w:rsidRPr="001F348B" w14:paraId="386880EC" w14:textId="77777777">
        <w:tc>
          <w:tcPr>
            <w:tcW w:w="0" w:type="auto"/>
            <w:tcBorders>
              <w:top w:val="nil"/>
              <w:left w:val="single" w:sz="8" w:space="0" w:color="auto"/>
              <w:bottom w:val="single" w:sz="8" w:space="0" w:color="auto"/>
              <w:right w:val="single" w:sz="8" w:space="0" w:color="auto"/>
            </w:tcBorders>
            <w:tcMar>
              <w:top w:w="50" w:type="dxa"/>
              <w:left w:w="72" w:type="dxa"/>
              <w:bottom w:w="0" w:type="dxa"/>
              <w:right w:w="21" w:type="dxa"/>
            </w:tcMar>
            <w:hideMark/>
          </w:tcPr>
          <w:p w14:paraId="5F04DFA2" w14:textId="77777777" w:rsidR="001F348B" w:rsidRPr="001F348B" w:rsidRDefault="001F348B" w:rsidP="001F348B">
            <w:pPr>
              <w:jc w:val="both"/>
            </w:pPr>
            <w:r w:rsidRPr="001F348B">
              <w:t>A. Ação de consignação em pagamento (0,45), já que Álvaro é terceiro interessado e, portanto, parte legítima (0,30), nos termos do Art. 304 do CC </w:t>
            </w:r>
            <w:r w:rsidRPr="001F348B">
              <w:rPr>
                <w:b/>
                <w:bCs/>
                <w:u w:val="single"/>
              </w:rPr>
              <w:t>OU</w:t>
            </w:r>
            <w:r w:rsidRPr="001F348B">
              <w:t> do Art. 539 do CPC/15 (0,10).</w:t>
            </w:r>
          </w:p>
        </w:tc>
        <w:tc>
          <w:tcPr>
            <w:tcW w:w="0" w:type="auto"/>
            <w:tcBorders>
              <w:top w:val="nil"/>
              <w:left w:val="nil"/>
              <w:bottom w:val="single" w:sz="8" w:space="0" w:color="auto"/>
              <w:right w:val="single" w:sz="8" w:space="0" w:color="auto"/>
            </w:tcBorders>
            <w:tcMar>
              <w:top w:w="50" w:type="dxa"/>
              <w:left w:w="72" w:type="dxa"/>
              <w:bottom w:w="0" w:type="dxa"/>
              <w:right w:w="21" w:type="dxa"/>
            </w:tcMar>
            <w:vAlign w:val="center"/>
            <w:hideMark/>
          </w:tcPr>
          <w:p w14:paraId="59043E5D" w14:textId="77777777" w:rsidR="001F348B" w:rsidRPr="001F348B" w:rsidRDefault="001F348B" w:rsidP="001F348B">
            <w:pPr>
              <w:jc w:val="both"/>
            </w:pPr>
            <w:r w:rsidRPr="001F348B">
              <w:t>0,00/0,45</w:t>
            </w:r>
          </w:p>
          <w:p w14:paraId="12D960F0" w14:textId="77777777" w:rsidR="001F348B" w:rsidRPr="001F348B" w:rsidRDefault="001F348B" w:rsidP="001F348B">
            <w:pPr>
              <w:jc w:val="both"/>
            </w:pPr>
            <w:r w:rsidRPr="001F348B">
              <w:t>0,55/0,75/0,85</w:t>
            </w:r>
          </w:p>
        </w:tc>
      </w:tr>
      <w:tr w:rsidR="001F348B" w:rsidRPr="001F348B" w14:paraId="31EA0690" w14:textId="77777777">
        <w:tc>
          <w:tcPr>
            <w:tcW w:w="0" w:type="auto"/>
            <w:tcBorders>
              <w:top w:val="nil"/>
              <w:left w:val="single" w:sz="8" w:space="0" w:color="auto"/>
              <w:bottom w:val="single" w:sz="8" w:space="0" w:color="auto"/>
              <w:right w:val="single" w:sz="8" w:space="0" w:color="auto"/>
            </w:tcBorders>
            <w:tcMar>
              <w:top w:w="50" w:type="dxa"/>
              <w:left w:w="72" w:type="dxa"/>
              <w:bottom w:w="0" w:type="dxa"/>
              <w:right w:w="21" w:type="dxa"/>
            </w:tcMar>
            <w:hideMark/>
          </w:tcPr>
          <w:p w14:paraId="1C26BE3F" w14:textId="77777777" w:rsidR="001F348B" w:rsidRPr="001F348B" w:rsidRDefault="001F348B" w:rsidP="001F348B">
            <w:pPr>
              <w:jc w:val="both"/>
            </w:pPr>
            <w:r w:rsidRPr="001F348B">
              <w:t>B. O foro competente é o da cidade do Rio de Janeiro (0,30), conforme o Art. 540 do CPC/15 (0,10).</w:t>
            </w:r>
          </w:p>
        </w:tc>
        <w:tc>
          <w:tcPr>
            <w:tcW w:w="0" w:type="auto"/>
            <w:tcBorders>
              <w:top w:val="nil"/>
              <w:left w:val="nil"/>
              <w:bottom w:val="single" w:sz="8" w:space="0" w:color="auto"/>
              <w:right w:val="single" w:sz="8" w:space="0" w:color="auto"/>
            </w:tcBorders>
            <w:tcMar>
              <w:top w:w="50" w:type="dxa"/>
              <w:left w:w="72" w:type="dxa"/>
              <w:bottom w:w="0" w:type="dxa"/>
              <w:right w:w="21" w:type="dxa"/>
            </w:tcMar>
            <w:vAlign w:val="center"/>
            <w:hideMark/>
          </w:tcPr>
          <w:p w14:paraId="155D2891" w14:textId="77777777" w:rsidR="001F348B" w:rsidRPr="001F348B" w:rsidRDefault="001F348B" w:rsidP="001F348B">
            <w:pPr>
              <w:jc w:val="both"/>
            </w:pPr>
            <w:r w:rsidRPr="001F348B">
              <w:t>0,00/0,30/0,40</w:t>
            </w:r>
          </w:p>
        </w:tc>
      </w:tr>
    </w:tbl>
    <w:p w14:paraId="7A0A8B84" w14:textId="77777777" w:rsidR="001F348B" w:rsidRPr="001F348B" w:rsidRDefault="001F348B" w:rsidP="001F348B">
      <w:pPr>
        <w:jc w:val="both"/>
      </w:pPr>
      <w:r w:rsidRPr="001F348B">
        <w:rPr>
          <w:b/>
          <w:bCs/>
        </w:rPr>
        <w:t> </w:t>
      </w:r>
    </w:p>
    <w:p w14:paraId="4AD3CE3E" w14:textId="2B3CB2E0" w:rsidR="001F348B" w:rsidRPr="001F348B" w:rsidRDefault="001F348B" w:rsidP="000B7444">
      <w:pPr>
        <w:jc w:val="both"/>
      </w:pPr>
      <w:r w:rsidRPr="001F348B">
        <w:rPr>
          <w:b/>
          <w:bCs/>
        </w:rPr>
        <w:t>Questão 4</w:t>
      </w:r>
      <w:r w:rsidR="000B7444">
        <w:rPr>
          <w:b/>
          <w:bCs/>
        </w:rPr>
        <w:t>:</w:t>
      </w:r>
      <w:r w:rsidR="000B7444">
        <w:t xml:space="preserve"> </w:t>
      </w:r>
      <w:r w:rsidRPr="001F348B">
        <w:t>Pedro, maior com 30 (trinta) anos de idade, é filho biológico de Paulo, que nunca reconheceu a filiação no registro de Pedro. Em 2016, Paulo morreu sem deixar testamento, solteiro, sem ascendentes e descendentes, e com dois irmãos sobreviventes, que estão na posse dos bens da herança. </w:t>
      </w:r>
      <w:r>
        <w:t xml:space="preserve"> </w:t>
      </w:r>
      <w:r w:rsidRPr="001F348B">
        <w:t>Diante da situação apresentada, responda aos itens a seguir.</w:t>
      </w:r>
    </w:p>
    <w:p w14:paraId="0F44D7EA" w14:textId="52A70BD9" w:rsidR="001F348B" w:rsidRDefault="001F348B" w:rsidP="001F348B">
      <w:pPr>
        <w:jc w:val="both"/>
        <w:rPr>
          <w:b/>
          <w:bCs/>
        </w:rPr>
      </w:pPr>
      <w:r w:rsidRPr="001F348B">
        <w:t> </w:t>
      </w:r>
      <w:proofErr w:type="gramStart"/>
      <w:r w:rsidRPr="001F348B">
        <w:t>A)Qual</w:t>
      </w:r>
      <w:proofErr w:type="gramEnd"/>
      <w:r w:rsidRPr="001F348B">
        <w:t xml:space="preserve"> o prazo para propositura da ação de investigação de paternidade e da petição de herança? </w:t>
      </w:r>
      <w:r w:rsidRPr="001F348B">
        <w:rPr>
          <w:b/>
          <w:bCs/>
        </w:rPr>
        <w:t>(Valor: 0,85)</w:t>
      </w:r>
    </w:p>
    <w:p w14:paraId="7DB64B3E" w14:textId="231F81AA" w:rsidR="001F348B" w:rsidRPr="001F348B" w:rsidRDefault="000B7444" w:rsidP="001F348B">
      <w:pPr>
        <w:jc w:val="both"/>
      </w:pPr>
      <w:r w:rsidRPr="000B7444">
        <w:t xml:space="preserve">GABARITO: </w:t>
      </w:r>
      <w:r w:rsidR="001F348B" w:rsidRPr="001F348B">
        <w:t xml:space="preserve">A ação de investigação de paternidade é imprescritível, como prevê o Art. 27 do ECA, </w:t>
      </w:r>
      <w:proofErr w:type="gramStart"/>
      <w:r w:rsidR="001F348B" w:rsidRPr="001F348B">
        <w:t>enquanto que</w:t>
      </w:r>
      <w:proofErr w:type="gramEnd"/>
      <w:r w:rsidR="001F348B" w:rsidRPr="001F348B">
        <w:t xml:space="preserve"> a petição de herança se submete ao prazo prescricional de 10 (dez) anos, por se tratar de maior prazo previsto em lei, consoante dispõe o Art. 205 do Código Civil. A questão foi sintetizada no enunciado da Súmula 149 do Supremo Tribunal Federal.</w:t>
      </w:r>
    </w:p>
    <w:p w14:paraId="5F1BE39A" w14:textId="0ABE2E34" w:rsidR="001F348B" w:rsidRPr="001F348B" w:rsidRDefault="001F348B" w:rsidP="001F348B">
      <w:pPr>
        <w:jc w:val="both"/>
      </w:pPr>
    </w:p>
    <w:p w14:paraId="4BF7829B" w14:textId="77777777" w:rsidR="001F348B" w:rsidRPr="001F348B" w:rsidRDefault="001F348B" w:rsidP="001F348B">
      <w:pPr>
        <w:jc w:val="both"/>
      </w:pPr>
      <w:r w:rsidRPr="001F348B">
        <w:t>B)  É possível cumular os pedidos de reconhecimento da paternidade e do direito hereditário no mesmo processo? </w:t>
      </w:r>
      <w:r w:rsidRPr="001F348B">
        <w:rPr>
          <w:b/>
          <w:bCs/>
        </w:rPr>
        <w:t>(Valor: 0,40)</w:t>
      </w:r>
      <w:r w:rsidRPr="001F348B">
        <w:t> </w:t>
      </w:r>
    </w:p>
    <w:p w14:paraId="3841DB56" w14:textId="631837F8" w:rsidR="001F348B" w:rsidRPr="001F348B" w:rsidRDefault="000B7444" w:rsidP="001F348B">
      <w:pPr>
        <w:jc w:val="both"/>
      </w:pPr>
      <w:r w:rsidRPr="000B7444">
        <w:t>GABARITO:</w:t>
      </w:r>
      <w:r w:rsidR="001F348B" w:rsidRPr="001F348B">
        <w:t> Cabe a cumulação de pedidos no mesmo processo, uma vez que a investigação de paternidade, bem como a petição de herança observam os requisitos de admissibilidade previstos no Art. 327, § 1º, do CPC, na medida em que os pedidos são compatíveis entre si, a competência é do mesmo juízo e o mesmo procedimento é adequado a ambas.</w:t>
      </w:r>
    </w:p>
    <w:p w14:paraId="51884556" w14:textId="2234FF66" w:rsidR="001F348B" w:rsidRPr="001F348B" w:rsidRDefault="001F348B" w:rsidP="001F348B">
      <w:pPr>
        <w:jc w:val="both"/>
        <w:rPr>
          <w:b/>
          <w:bCs/>
        </w:rPr>
      </w:pPr>
    </w:p>
    <w:tbl>
      <w:tblPr>
        <w:tblW w:w="0" w:type="auto"/>
        <w:tblCellMar>
          <w:left w:w="0" w:type="dxa"/>
          <w:right w:w="0" w:type="dxa"/>
        </w:tblCellMar>
        <w:tblLook w:val="04A0" w:firstRow="1" w:lastRow="0" w:firstColumn="1" w:lastColumn="0" w:noHBand="0" w:noVBand="1"/>
      </w:tblPr>
      <w:tblGrid>
        <w:gridCol w:w="6879"/>
        <w:gridCol w:w="1615"/>
      </w:tblGrid>
      <w:tr w:rsidR="001F348B" w:rsidRPr="001F348B" w14:paraId="71C1EDD5" w14:textId="77777777">
        <w:tc>
          <w:tcPr>
            <w:tcW w:w="0" w:type="auto"/>
            <w:tcBorders>
              <w:top w:val="single" w:sz="8" w:space="0" w:color="auto"/>
              <w:left w:val="nil"/>
              <w:bottom w:val="single" w:sz="8" w:space="0" w:color="auto"/>
              <w:right w:val="single" w:sz="8" w:space="0" w:color="auto"/>
            </w:tcBorders>
            <w:shd w:val="clear" w:color="auto" w:fill="943634"/>
            <w:tcMar>
              <w:top w:w="50" w:type="dxa"/>
              <w:left w:w="72" w:type="dxa"/>
              <w:bottom w:w="0" w:type="dxa"/>
              <w:right w:w="20" w:type="dxa"/>
            </w:tcMar>
            <w:vAlign w:val="center"/>
            <w:hideMark/>
          </w:tcPr>
          <w:p w14:paraId="73D8DEF0" w14:textId="77777777" w:rsidR="001F348B" w:rsidRPr="001F348B" w:rsidRDefault="001F348B" w:rsidP="001F348B">
            <w:pPr>
              <w:jc w:val="both"/>
            </w:pPr>
            <w:r w:rsidRPr="001F348B">
              <w:rPr>
                <w:b/>
                <w:bCs/>
              </w:rPr>
              <w:t>ITEM </w:t>
            </w:r>
          </w:p>
        </w:tc>
        <w:tc>
          <w:tcPr>
            <w:tcW w:w="0" w:type="auto"/>
            <w:tcBorders>
              <w:top w:val="single" w:sz="8" w:space="0" w:color="auto"/>
              <w:left w:val="nil"/>
              <w:bottom w:val="single" w:sz="8" w:space="0" w:color="auto"/>
              <w:right w:val="single" w:sz="8" w:space="0" w:color="auto"/>
            </w:tcBorders>
            <w:shd w:val="clear" w:color="auto" w:fill="943634"/>
            <w:tcMar>
              <w:top w:w="50" w:type="dxa"/>
              <w:left w:w="72" w:type="dxa"/>
              <w:bottom w:w="0" w:type="dxa"/>
              <w:right w:w="20" w:type="dxa"/>
            </w:tcMar>
            <w:vAlign w:val="center"/>
            <w:hideMark/>
          </w:tcPr>
          <w:p w14:paraId="61ED9033" w14:textId="77777777" w:rsidR="001F348B" w:rsidRPr="001F348B" w:rsidRDefault="001F348B" w:rsidP="001F348B">
            <w:pPr>
              <w:jc w:val="both"/>
            </w:pPr>
            <w:r w:rsidRPr="001F348B">
              <w:rPr>
                <w:b/>
                <w:bCs/>
              </w:rPr>
              <w:t>PONTUAÇÃO</w:t>
            </w:r>
          </w:p>
        </w:tc>
      </w:tr>
      <w:tr w:rsidR="001F348B" w:rsidRPr="001F348B" w14:paraId="60E30856" w14:textId="77777777">
        <w:tc>
          <w:tcPr>
            <w:tcW w:w="0" w:type="auto"/>
            <w:tcBorders>
              <w:top w:val="nil"/>
              <w:left w:val="single" w:sz="8" w:space="0" w:color="auto"/>
              <w:bottom w:val="single" w:sz="8" w:space="0" w:color="auto"/>
              <w:right w:val="single" w:sz="8" w:space="0" w:color="auto"/>
            </w:tcBorders>
            <w:tcMar>
              <w:top w:w="50" w:type="dxa"/>
              <w:left w:w="72" w:type="dxa"/>
              <w:bottom w:w="0" w:type="dxa"/>
              <w:right w:w="20" w:type="dxa"/>
            </w:tcMar>
            <w:hideMark/>
          </w:tcPr>
          <w:p w14:paraId="37CE0781" w14:textId="77777777" w:rsidR="001F348B" w:rsidRPr="001F348B" w:rsidRDefault="001F348B" w:rsidP="001F348B">
            <w:pPr>
              <w:jc w:val="both"/>
            </w:pPr>
            <w:r w:rsidRPr="001F348B">
              <w:t>A</w:t>
            </w:r>
            <w:r w:rsidRPr="001F348B">
              <w:rPr>
                <w:vertAlign w:val="subscript"/>
              </w:rPr>
              <w:t>1</w:t>
            </w:r>
            <w:r w:rsidRPr="001F348B">
              <w:t>. A ação de investigação de paternidade é imprescritível (0,30), nos termos do Art. 27 do ECA </w:t>
            </w:r>
            <w:r w:rsidRPr="001F348B">
              <w:rPr>
                <w:b/>
                <w:bCs/>
              </w:rPr>
              <w:t>OU</w:t>
            </w:r>
            <w:r w:rsidRPr="001F348B">
              <w:t> a Súmula 149 do STF (0,10).</w:t>
            </w:r>
          </w:p>
        </w:tc>
        <w:tc>
          <w:tcPr>
            <w:tcW w:w="0" w:type="auto"/>
            <w:tcBorders>
              <w:top w:val="nil"/>
              <w:left w:val="nil"/>
              <w:bottom w:val="single" w:sz="8" w:space="0" w:color="auto"/>
              <w:right w:val="single" w:sz="8" w:space="0" w:color="auto"/>
            </w:tcBorders>
            <w:tcMar>
              <w:top w:w="50" w:type="dxa"/>
              <w:left w:w="72" w:type="dxa"/>
              <w:bottom w:w="0" w:type="dxa"/>
              <w:right w:w="20" w:type="dxa"/>
            </w:tcMar>
            <w:vAlign w:val="center"/>
            <w:hideMark/>
          </w:tcPr>
          <w:p w14:paraId="7602B4E7" w14:textId="77777777" w:rsidR="001F348B" w:rsidRPr="001F348B" w:rsidRDefault="001F348B" w:rsidP="001F348B">
            <w:pPr>
              <w:jc w:val="both"/>
            </w:pPr>
            <w:r w:rsidRPr="001F348B">
              <w:t>0,00/0,30/0,40</w:t>
            </w:r>
          </w:p>
        </w:tc>
      </w:tr>
      <w:tr w:rsidR="001F348B" w:rsidRPr="001F348B" w14:paraId="77A202A6" w14:textId="77777777">
        <w:tc>
          <w:tcPr>
            <w:tcW w:w="0" w:type="auto"/>
            <w:tcBorders>
              <w:top w:val="nil"/>
              <w:left w:val="single" w:sz="8" w:space="0" w:color="auto"/>
              <w:bottom w:val="single" w:sz="8" w:space="0" w:color="auto"/>
              <w:right w:val="single" w:sz="8" w:space="0" w:color="auto"/>
            </w:tcBorders>
            <w:tcMar>
              <w:top w:w="50" w:type="dxa"/>
              <w:left w:w="72" w:type="dxa"/>
              <w:bottom w:w="0" w:type="dxa"/>
              <w:right w:w="20" w:type="dxa"/>
            </w:tcMar>
            <w:hideMark/>
          </w:tcPr>
          <w:p w14:paraId="00C3C65B" w14:textId="77777777" w:rsidR="001F348B" w:rsidRPr="001F348B" w:rsidRDefault="001F348B" w:rsidP="001F348B">
            <w:pPr>
              <w:jc w:val="both"/>
            </w:pPr>
            <w:r w:rsidRPr="001F348B">
              <w:t>A</w:t>
            </w:r>
            <w:r w:rsidRPr="001F348B">
              <w:rPr>
                <w:vertAlign w:val="subscript"/>
              </w:rPr>
              <w:t>2</w:t>
            </w:r>
            <w:r w:rsidRPr="001F348B">
              <w:t xml:space="preserve">. </w:t>
            </w:r>
            <w:proofErr w:type="spellStart"/>
            <w:r w:rsidRPr="001F348B">
              <w:t>Prescritibilidade</w:t>
            </w:r>
            <w:proofErr w:type="spellEnd"/>
            <w:r w:rsidRPr="001F348B">
              <w:t xml:space="preserve"> da ação de petição de herança, no prazo de 10 (dez) anos (0,35</w:t>
            </w:r>
            <w:proofErr w:type="gramStart"/>
            <w:r w:rsidRPr="001F348B">
              <w:t>),conforme</w:t>
            </w:r>
            <w:proofErr w:type="gramEnd"/>
            <w:r w:rsidRPr="001F348B">
              <w:t xml:space="preserve"> o Art. 205 do CC (0,10).</w:t>
            </w:r>
          </w:p>
        </w:tc>
        <w:tc>
          <w:tcPr>
            <w:tcW w:w="0" w:type="auto"/>
            <w:tcBorders>
              <w:top w:val="nil"/>
              <w:left w:val="nil"/>
              <w:bottom w:val="single" w:sz="8" w:space="0" w:color="auto"/>
              <w:right w:val="single" w:sz="8" w:space="0" w:color="auto"/>
            </w:tcBorders>
            <w:tcMar>
              <w:top w:w="50" w:type="dxa"/>
              <w:left w:w="72" w:type="dxa"/>
              <w:bottom w:w="0" w:type="dxa"/>
              <w:right w:w="20" w:type="dxa"/>
            </w:tcMar>
            <w:hideMark/>
          </w:tcPr>
          <w:p w14:paraId="719D2EE1" w14:textId="77777777" w:rsidR="001F348B" w:rsidRPr="001F348B" w:rsidRDefault="001F348B" w:rsidP="001F348B">
            <w:pPr>
              <w:jc w:val="both"/>
            </w:pPr>
            <w:r w:rsidRPr="001F348B">
              <w:t>0,00/0,35/0,45</w:t>
            </w:r>
          </w:p>
          <w:p w14:paraId="361C52D2" w14:textId="77777777" w:rsidR="001F348B" w:rsidRPr="001F348B" w:rsidRDefault="001F348B" w:rsidP="001F348B">
            <w:pPr>
              <w:jc w:val="both"/>
            </w:pPr>
            <w:r w:rsidRPr="001F348B">
              <w:t> </w:t>
            </w:r>
          </w:p>
        </w:tc>
      </w:tr>
      <w:tr w:rsidR="001F348B" w:rsidRPr="001F348B" w14:paraId="2C2FCB0C" w14:textId="77777777">
        <w:tc>
          <w:tcPr>
            <w:tcW w:w="0" w:type="auto"/>
            <w:tcBorders>
              <w:top w:val="nil"/>
              <w:left w:val="single" w:sz="8" w:space="0" w:color="auto"/>
              <w:bottom w:val="single" w:sz="8" w:space="0" w:color="auto"/>
              <w:right w:val="single" w:sz="8" w:space="0" w:color="auto"/>
            </w:tcBorders>
            <w:tcMar>
              <w:top w:w="50" w:type="dxa"/>
              <w:left w:w="72" w:type="dxa"/>
              <w:bottom w:w="0" w:type="dxa"/>
              <w:right w:w="20" w:type="dxa"/>
            </w:tcMar>
            <w:hideMark/>
          </w:tcPr>
          <w:p w14:paraId="1D4C9BA2" w14:textId="77777777" w:rsidR="001F348B" w:rsidRPr="001F348B" w:rsidRDefault="001F348B" w:rsidP="001F348B">
            <w:pPr>
              <w:jc w:val="both"/>
            </w:pPr>
            <w:r w:rsidRPr="001F348B">
              <w:lastRenderedPageBreak/>
              <w:t>B. Cabe a cumulação de pedidos no mesmo processo, desde que presentes os </w:t>
            </w:r>
            <w:r w:rsidRPr="001F348B">
              <w:rPr>
                <w:b/>
                <w:bCs/>
              </w:rPr>
              <w:t>requisitos de admissibilidade</w:t>
            </w:r>
            <w:r w:rsidRPr="001F348B">
              <w:t> </w:t>
            </w:r>
            <w:r w:rsidRPr="001F348B">
              <w:rPr>
                <w:b/>
                <w:bCs/>
                <w:u w:val="single"/>
              </w:rPr>
              <w:t>OU</w:t>
            </w:r>
            <w:r w:rsidRPr="001F348B">
              <w:t> que os pedidos sejam compatíveis entre si, a competência seja do mesmo juízo e adequado o mesmo procedimento (0,30), nos termos do Art. 327, § 1º, do CPC (0,10)</w:t>
            </w:r>
          </w:p>
        </w:tc>
        <w:tc>
          <w:tcPr>
            <w:tcW w:w="0" w:type="auto"/>
            <w:tcBorders>
              <w:top w:val="nil"/>
              <w:left w:val="nil"/>
              <w:bottom w:val="single" w:sz="8" w:space="0" w:color="auto"/>
              <w:right w:val="single" w:sz="8" w:space="0" w:color="auto"/>
            </w:tcBorders>
            <w:tcMar>
              <w:top w:w="50" w:type="dxa"/>
              <w:left w:w="72" w:type="dxa"/>
              <w:bottom w:w="0" w:type="dxa"/>
              <w:right w:w="20" w:type="dxa"/>
            </w:tcMar>
            <w:vAlign w:val="center"/>
            <w:hideMark/>
          </w:tcPr>
          <w:p w14:paraId="1EFB5D1C" w14:textId="77777777" w:rsidR="001F348B" w:rsidRPr="001F348B" w:rsidRDefault="001F348B" w:rsidP="001F348B">
            <w:pPr>
              <w:jc w:val="both"/>
            </w:pPr>
            <w:r w:rsidRPr="001F348B">
              <w:t>0,00/0,30/0,40</w:t>
            </w:r>
          </w:p>
        </w:tc>
      </w:tr>
    </w:tbl>
    <w:p w14:paraId="067778E4" w14:textId="33280AD9" w:rsidR="001F348B" w:rsidRPr="009A4023" w:rsidRDefault="001F348B" w:rsidP="001F348B">
      <w:pPr>
        <w:jc w:val="both"/>
      </w:pPr>
      <w:r w:rsidRPr="001F348B">
        <w:rPr>
          <w:b/>
          <w:bCs/>
        </w:rPr>
        <w:t> </w:t>
      </w:r>
    </w:p>
    <w:sectPr w:rsidR="001F348B" w:rsidRPr="009A402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C41FB"/>
    <w:multiLevelType w:val="hybridMultilevel"/>
    <w:tmpl w:val="EC46D86E"/>
    <w:lvl w:ilvl="0" w:tplc="3DF2C772">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420324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B94"/>
    <w:rsid w:val="00006F2F"/>
    <w:rsid w:val="00047A80"/>
    <w:rsid w:val="00061869"/>
    <w:rsid w:val="0007690F"/>
    <w:rsid w:val="000B7444"/>
    <w:rsid w:val="001363FB"/>
    <w:rsid w:val="00140B58"/>
    <w:rsid w:val="001F348B"/>
    <w:rsid w:val="00260761"/>
    <w:rsid w:val="002D31AC"/>
    <w:rsid w:val="00313790"/>
    <w:rsid w:val="00342B94"/>
    <w:rsid w:val="00376024"/>
    <w:rsid w:val="003E625A"/>
    <w:rsid w:val="004044DB"/>
    <w:rsid w:val="00434F1C"/>
    <w:rsid w:val="00461399"/>
    <w:rsid w:val="004C0027"/>
    <w:rsid w:val="004E7566"/>
    <w:rsid w:val="005F08EA"/>
    <w:rsid w:val="006365E5"/>
    <w:rsid w:val="0066022B"/>
    <w:rsid w:val="00747601"/>
    <w:rsid w:val="007D11EE"/>
    <w:rsid w:val="007D658B"/>
    <w:rsid w:val="00816E88"/>
    <w:rsid w:val="00850945"/>
    <w:rsid w:val="00865FB5"/>
    <w:rsid w:val="00882ACC"/>
    <w:rsid w:val="00944165"/>
    <w:rsid w:val="00977544"/>
    <w:rsid w:val="009A4023"/>
    <w:rsid w:val="009C0DD1"/>
    <w:rsid w:val="00A1068D"/>
    <w:rsid w:val="00A26923"/>
    <w:rsid w:val="00A87449"/>
    <w:rsid w:val="00A91086"/>
    <w:rsid w:val="00A94AD9"/>
    <w:rsid w:val="00AA107C"/>
    <w:rsid w:val="00AB69D4"/>
    <w:rsid w:val="00AB7B83"/>
    <w:rsid w:val="00AC1CBB"/>
    <w:rsid w:val="00AD6D71"/>
    <w:rsid w:val="00B60392"/>
    <w:rsid w:val="00B62DAC"/>
    <w:rsid w:val="00B75F9D"/>
    <w:rsid w:val="00B96E06"/>
    <w:rsid w:val="00BB7518"/>
    <w:rsid w:val="00BC7305"/>
    <w:rsid w:val="00C00D41"/>
    <w:rsid w:val="00C309A8"/>
    <w:rsid w:val="00C454E7"/>
    <w:rsid w:val="00C71470"/>
    <w:rsid w:val="00CF26C8"/>
    <w:rsid w:val="00CF3F14"/>
    <w:rsid w:val="00D1560A"/>
    <w:rsid w:val="00D57786"/>
    <w:rsid w:val="00D744BA"/>
    <w:rsid w:val="00D7454A"/>
    <w:rsid w:val="00E15DC5"/>
    <w:rsid w:val="00E81272"/>
    <w:rsid w:val="00F933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D9F6E"/>
  <w15:chartTrackingRefBased/>
  <w15:docId w15:val="{BDC50838-FE6F-443A-ADEC-9AA350815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023"/>
  </w:style>
  <w:style w:type="paragraph" w:styleId="Ttulo1">
    <w:name w:val="heading 1"/>
    <w:basedOn w:val="Normal"/>
    <w:next w:val="Normal"/>
    <w:link w:val="Ttulo1Char"/>
    <w:uiPriority w:val="9"/>
    <w:qFormat/>
    <w:rsid w:val="00342B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342B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342B9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42B9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42B9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42B9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42B9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42B9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42B94"/>
    <w:pPr>
      <w:keepNext/>
      <w:keepLines/>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42B9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42B9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342B9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42B9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42B9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42B9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42B9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42B9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42B94"/>
    <w:rPr>
      <w:rFonts w:eastAsiaTheme="majorEastAsia" w:cstheme="majorBidi"/>
      <w:color w:val="272727" w:themeColor="text1" w:themeTint="D8"/>
    </w:rPr>
  </w:style>
  <w:style w:type="paragraph" w:styleId="Ttulo">
    <w:name w:val="Title"/>
    <w:basedOn w:val="Normal"/>
    <w:next w:val="Normal"/>
    <w:link w:val="TtuloChar"/>
    <w:uiPriority w:val="10"/>
    <w:qFormat/>
    <w:rsid w:val="00342B94"/>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42B9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42B94"/>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42B9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42B94"/>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342B94"/>
    <w:rPr>
      <w:i/>
      <w:iCs/>
      <w:color w:val="404040" w:themeColor="text1" w:themeTint="BF"/>
    </w:rPr>
  </w:style>
  <w:style w:type="paragraph" w:styleId="PargrafodaLista">
    <w:name w:val="List Paragraph"/>
    <w:basedOn w:val="Normal"/>
    <w:uiPriority w:val="34"/>
    <w:qFormat/>
    <w:rsid w:val="00342B94"/>
    <w:pPr>
      <w:ind w:left="720"/>
      <w:contextualSpacing/>
    </w:pPr>
  </w:style>
  <w:style w:type="character" w:styleId="nfaseIntensa">
    <w:name w:val="Intense Emphasis"/>
    <w:basedOn w:val="Fontepargpadro"/>
    <w:uiPriority w:val="21"/>
    <w:qFormat/>
    <w:rsid w:val="00342B94"/>
    <w:rPr>
      <w:i/>
      <w:iCs/>
      <w:color w:val="0F4761" w:themeColor="accent1" w:themeShade="BF"/>
    </w:rPr>
  </w:style>
  <w:style w:type="paragraph" w:styleId="CitaoIntensa">
    <w:name w:val="Intense Quote"/>
    <w:basedOn w:val="Normal"/>
    <w:next w:val="Normal"/>
    <w:link w:val="CitaoIntensaChar"/>
    <w:uiPriority w:val="30"/>
    <w:qFormat/>
    <w:rsid w:val="00342B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42B94"/>
    <w:rPr>
      <w:i/>
      <w:iCs/>
      <w:color w:val="0F4761" w:themeColor="accent1" w:themeShade="BF"/>
    </w:rPr>
  </w:style>
  <w:style w:type="character" w:styleId="RefernciaIntensa">
    <w:name w:val="Intense Reference"/>
    <w:basedOn w:val="Fontepargpadro"/>
    <w:uiPriority w:val="32"/>
    <w:qFormat/>
    <w:rsid w:val="00342B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2596</Words>
  <Characters>14022</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Augusto Lopes</dc:creator>
  <cp:keywords/>
  <dc:description/>
  <cp:lastModifiedBy>Julio Augusto Lopes</cp:lastModifiedBy>
  <cp:revision>4</cp:revision>
  <dcterms:created xsi:type="dcterms:W3CDTF">2026-08-25T00:51:00Z</dcterms:created>
  <dcterms:modified xsi:type="dcterms:W3CDTF">2026-08-26T00:11:00Z</dcterms:modified>
</cp:coreProperties>
</file>