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5B80E" w14:textId="1ACEC8C6" w:rsidR="009A4023" w:rsidRPr="00B62DAC" w:rsidRDefault="009A4023" w:rsidP="00367EB7">
      <w:pPr>
        <w:jc w:val="both"/>
        <w:rPr>
          <w:b/>
          <w:bCs/>
        </w:rPr>
      </w:pPr>
      <w:r w:rsidRPr="00B62DAC">
        <w:rPr>
          <w:b/>
          <w:bCs/>
        </w:rPr>
        <w:t>XXV</w:t>
      </w:r>
    </w:p>
    <w:p w14:paraId="3C02B9BC" w14:textId="2502EC1D" w:rsidR="00367EB7" w:rsidRDefault="00367EB7" w:rsidP="00512656">
      <w:pPr>
        <w:jc w:val="both"/>
      </w:pPr>
      <w:r>
        <w:tab/>
        <w:t xml:space="preserve">Luísa dos Santos Bastos, nascida em 01/01/2010, domiciliada na cidade Alfa, é filha de Maria dos Santos e de Paulo Bastos. A avó paterna, Alice Bastos, goza de confortável situação patrimonial e mora na cidade Delta. Todos os demais avós faleceram antes de Luísa nascer. Maria dos Santos e Paulo Bastos se divorciaram em 04/07/2013, e ficou ajustado que o pai pagaria pensão alimentícia a Luísa no valor de R$ 2.000,00 (dois mil reais), o que fez até o dia da sua morte, em 25/08/2015. </w:t>
      </w:r>
      <w:r w:rsidR="00512656">
        <w:t xml:space="preserve"> </w:t>
      </w:r>
      <w:r>
        <w:t xml:space="preserve">Paulo Bastos não deixou bens a partilhar, de modo que Luísa nada recebeu de herança. Sem condições de arcar sozinha com a manutenção e educação da filha, já que recebe apenas um </w:t>
      </w:r>
      <w:proofErr w:type="gramStart"/>
      <w:r>
        <w:t>salário mínimo</w:t>
      </w:r>
      <w:proofErr w:type="gramEnd"/>
      <w:r>
        <w:t xml:space="preserve"> nacional de remuneração por mês – valor absolutamente insuficiente para arcar com as necessidades da menor –, Maria dos Santos procura você, como advogado(a), e pergunta o que pode ser feito em relação ao sustento da criança.</w:t>
      </w:r>
      <w:r w:rsidR="00512656">
        <w:t xml:space="preserve"> </w:t>
      </w:r>
      <w:r>
        <w:t>Na qualidade de advogado(a) de Maria dos Santos, elabore a peça processual cabível para a tutela dos interesses da filha desta, que pretende haver R$ 1.500,00 (mil e quinhentos reais) a título de alimentos. (Valor: 5,00)</w:t>
      </w:r>
    </w:p>
    <w:p w14:paraId="0135EB2A" w14:textId="77777777" w:rsidR="00367EB7" w:rsidRDefault="00367EB7" w:rsidP="00367EB7">
      <w:pPr>
        <w:jc w:val="both"/>
      </w:pPr>
    </w:p>
    <w:p w14:paraId="4D6A2401" w14:textId="5D294DB1" w:rsidR="00367EB7" w:rsidRDefault="00367EB7" w:rsidP="00512656">
      <w:pPr>
        <w:jc w:val="both"/>
      </w:pPr>
      <w:r>
        <w:t>Padrão de Resposta</w:t>
      </w:r>
      <w:r w:rsidR="00512656">
        <w:t xml:space="preserve">: </w:t>
      </w:r>
      <w:r>
        <w:t>Cuida-se de petição inicial de Ação de Alimentos, com pedido de fixação de alimentos provisórios, a ser ajuizada em face da avó paterna, Alice Bastos.</w:t>
      </w:r>
      <w:r w:rsidR="00512656">
        <w:t xml:space="preserve"> </w:t>
      </w:r>
      <w:r>
        <w:t xml:space="preserve">O examinando deve identificar que o juízo competente é o </w:t>
      </w:r>
      <w:proofErr w:type="spellStart"/>
      <w:r>
        <w:t>juizo</w:t>
      </w:r>
      <w:proofErr w:type="spellEnd"/>
      <w:r>
        <w:t xml:space="preserve"> da comarca da cidade Alfa, nos termos do Art. 53, inciso II, do CPC/15. Ademais, na qualificação da parte autora, deve apontar que ela está, no ato, representada por sua mãe.</w:t>
      </w:r>
      <w:r w:rsidR="00512656">
        <w:t xml:space="preserve"> </w:t>
      </w:r>
      <w:r>
        <w:t>Impõe-se seja requerida a gratuidade de justiça, com base nos artigos 98 e 99 do CPC/15 e no Art. 1º, §§ 2º e 3º, da Lei nº 5.478, já que a autora, menor que depende de pensionamento, não possui condições financeiras para suportar as custas processuais e honorários advocatícios da presente ação.</w:t>
      </w:r>
      <w:r w:rsidR="00512656">
        <w:t xml:space="preserve"> </w:t>
      </w:r>
      <w:r>
        <w:t>Deve, ainda, discorrer sobre o histórico familiar, explicar a admissibilidade de fixação de alimentos avoengos, nos termos do Art. 1.698 do CC, e destacar a presença do binômio necessidade/possibilidade dos alimentos, bem com o caráter subsidiário da obrigação.</w:t>
      </w:r>
      <w:r w:rsidR="00512656">
        <w:t xml:space="preserve"> </w:t>
      </w:r>
      <w:r>
        <w:t>Os pedidos devem ser formulados da seguinte forma: I)     deferimento de gratuidade de justiça; II)   fixação, em sede liminar, de alimentos provisórios no valor de R$ 1.500,</w:t>
      </w:r>
      <w:proofErr w:type="gramStart"/>
      <w:r>
        <w:t>00;  III</w:t>
      </w:r>
      <w:proofErr w:type="gramEnd"/>
      <w:r>
        <w:t>) procedência final do pedido com a condenação da ré no pagamento mensal de alimentos definitivos no valor d R$ 1.500,00; e IV) produção de todas as provas em direito admitidas, em especial de prova oral com oitiva de testemunhas, depoimento pessoal da ré e prova documental suplementar.</w:t>
      </w:r>
      <w:r w:rsidR="00512656">
        <w:t xml:space="preserve"> </w:t>
      </w:r>
      <w:r>
        <w:t xml:space="preserve">O examinando deve dar à causa o valor de R$ 18.000,00 (12 vezes R$ 1.500,00), nos termos do Art. 292, inciso </w:t>
      </w:r>
      <w:proofErr w:type="gramStart"/>
      <w:r>
        <w:t>III,  do</w:t>
      </w:r>
      <w:proofErr w:type="gramEnd"/>
      <w:r>
        <w:t xml:space="preserve"> CPC/15.</w:t>
      </w:r>
      <w:r w:rsidR="00512656">
        <w:t xml:space="preserve"> </w:t>
      </w:r>
      <w:proofErr w:type="gramStart"/>
      <w:r>
        <w:t>Por</w:t>
      </w:r>
      <w:proofErr w:type="gramEnd"/>
      <w:r>
        <w:t xml:space="preserve"> fim, o fechamento da peça (local, data, assinatura e inscrição OAB).</w:t>
      </w:r>
    </w:p>
    <w:p w14:paraId="3C5F9C98" w14:textId="14966D60" w:rsidR="00367EB7" w:rsidRPr="00367EB7" w:rsidRDefault="00367EB7" w:rsidP="00367EB7">
      <w:pPr>
        <w:jc w:val="both"/>
        <w:rPr>
          <w:b/>
          <w:bCs/>
        </w:rPr>
      </w:pPr>
    </w:p>
    <w:tbl>
      <w:tblPr>
        <w:tblW w:w="0" w:type="auto"/>
        <w:tblInd w:w="18" w:type="dxa"/>
        <w:tblCellMar>
          <w:left w:w="0" w:type="dxa"/>
          <w:right w:w="0" w:type="dxa"/>
        </w:tblCellMar>
        <w:tblLook w:val="04A0" w:firstRow="1" w:lastRow="0" w:firstColumn="1" w:lastColumn="0" w:noHBand="0" w:noVBand="1"/>
      </w:tblPr>
      <w:tblGrid>
        <w:gridCol w:w="104"/>
        <w:gridCol w:w="6181"/>
        <w:gridCol w:w="104"/>
        <w:gridCol w:w="2077"/>
      </w:tblGrid>
      <w:tr w:rsidR="00367EB7" w:rsidRPr="00367EB7" w14:paraId="20473DB5" w14:textId="77777777">
        <w:tc>
          <w:tcPr>
            <w:tcW w:w="0" w:type="auto"/>
            <w:gridSpan w:val="3"/>
            <w:tcBorders>
              <w:top w:val="single" w:sz="8" w:space="0" w:color="943634"/>
              <w:left w:val="single" w:sz="8" w:space="0" w:color="943634"/>
              <w:bottom w:val="single" w:sz="8" w:space="0" w:color="943634"/>
              <w:right w:val="single" w:sz="8" w:space="0" w:color="943634"/>
            </w:tcBorders>
            <w:shd w:val="clear" w:color="auto" w:fill="943634"/>
            <w:tcMar>
              <w:top w:w="52" w:type="dxa"/>
              <w:left w:w="0" w:type="dxa"/>
              <w:bottom w:w="0" w:type="dxa"/>
              <w:right w:w="0" w:type="dxa"/>
            </w:tcMar>
            <w:hideMark/>
          </w:tcPr>
          <w:p w14:paraId="3B0758AC" w14:textId="77777777" w:rsidR="00367EB7" w:rsidRPr="00367EB7" w:rsidRDefault="00367EB7" w:rsidP="00367EB7">
            <w:pPr>
              <w:jc w:val="both"/>
            </w:pPr>
            <w:r w:rsidRPr="00367EB7">
              <w:rPr>
                <w:b/>
                <w:bCs/>
              </w:rPr>
              <w:t>ITEM </w:t>
            </w:r>
          </w:p>
        </w:tc>
        <w:tc>
          <w:tcPr>
            <w:tcW w:w="0" w:type="auto"/>
            <w:tcBorders>
              <w:top w:val="single" w:sz="8" w:space="0" w:color="auto"/>
              <w:left w:val="nil"/>
              <w:bottom w:val="single" w:sz="8" w:space="0" w:color="auto"/>
              <w:right w:val="single" w:sz="8" w:space="0" w:color="auto"/>
            </w:tcBorders>
            <w:shd w:val="clear" w:color="auto" w:fill="943634"/>
            <w:tcMar>
              <w:top w:w="52" w:type="dxa"/>
              <w:left w:w="0" w:type="dxa"/>
              <w:bottom w:w="0" w:type="dxa"/>
              <w:right w:w="0" w:type="dxa"/>
            </w:tcMar>
            <w:hideMark/>
          </w:tcPr>
          <w:p w14:paraId="23E19614" w14:textId="77777777" w:rsidR="00367EB7" w:rsidRPr="00367EB7" w:rsidRDefault="00367EB7" w:rsidP="00367EB7">
            <w:pPr>
              <w:jc w:val="both"/>
            </w:pPr>
            <w:r w:rsidRPr="00367EB7">
              <w:rPr>
                <w:b/>
                <w:bCs/>
              </w:rPr>
              <w:t>PONTUAÇÃO</w:t>
            </w:r>
          </w:p>
        </w:tc>
      </w:tr>
      <w:tr w:rsidR="00367EB7" w:rsidRPr="00367EB7" w14:paraId="64D1D263" w14:textId="77777777">
        <w:tc>
          <w:tcPr>
            <w:tcW w:w="0" w:type="auto"/>
            <w:gridSpan w:val="3"/>
            <w:tcBorders>
              <w:top w:val="nil"/>
              <w:left w:val="single" w:sz="8" w:space="0" w:color="auto"/>
              <w:bottom w:val="single" w:sz="8" w:space="0" w:color="auto"/>
              <w:right w:val="single" w:sz="8" w:space="0" w:color="auto"/>
            </w:tcBorders>
            <w:tcMar>
              <w:top w:w="52" w:type="dxa"/>
              <w:left w:w="0" w:type="dxa"/>
              <w:bottom w:w="0" w:type="dxa"/>
              <w:right w:w="0" w:type="dxa"/>
            </w:tcMar>
            <w:hideMark/>
          </w:tcPr>
          <w:p w14:paraId="68170452" w14:textId="77777777" w:rsidR="00367EB7" w:rsidRPr="00367EB7" w:rsidRDefault="00367EB7" w:rsidP="00367EB7">
            <w:pPr>
              <w:jc w:val="both"/>
            </w:pPr>
            <w:r w:rsidRPr="00367EB7">
              <w:rPr>
                <w:b/>
                <w:bCs/>
              </w:rPr>
              <w:t>Endereçamento</w:t>
            </w:r>
          </w:p>
        </w:tc>
        <w:tc>
          <w:tcPr>
            <w:tcW w:w="0" w:type="auto"/>
            <w:tcBorders>
              <w:top w:val="nil"/>
              <w:left w:val="nil"/>
              <w:bottom w:val="single" w:sz="8" w:space="0" w:color="auto"/>
              <w:right w:val="single" w:sz="8" w:space="0" w:color="auto"/>
            </w:tcBorders>
            <w:tcMar>
              <w:top w:w="52" w:type="dxa"/>
              <w:left w:w="0" w:type="dxa"/>
              <w:bottom w:w="0" w:type="dxa"/>
              <w:right w:w="0" w:type="dxa"/>
            </w:tcMar>
            <w:hideMark/>
          </w:tcPr>
          <w:p w14:paraId="560DA723" w14:textId="77777777" w:rsidR="00367EB7" w:rsidRPr="00367EB7" w:rsidRDefault="00367EB7" w:rsidP="00367EB7">
            <w:pPr>
              <w:jc w:val="both"/>
            </w:pPr>
            <w:r w:rsidRPr="00367EB7">
              <w:t> </w:t>
            </w:r>
          </w:p>
        </w:tc>
      </w:tr>
      <w:tr w:rsidR="00367EB7" w:rsidRPr="00367EB7" w14:paraId="121D0586" w14:textId="77777777">
        <w:tc>
          <w:tcPr>
            <w:tcW w:w="0" w:type="auto"/>
            <w:gridSpan w:val="3"/>
            <w:tcBorders>
              <w:top w:val="nil"/>
              <w:left w:val="single" w:sz="8" w:space="0" w:color="auto"/>
              <w:bottom w:val="single" w:sz="8" w:space="0" w:color="auto"/>
              <w:right w:val="single" w:sz="8" w:space="0" w:color="auto"/>
            </w:tcBorders>
            <w:tcMar>
              <w:top w:w="52" w:type="dxa"/>
              <w:left w:w="0" w:type="dxa"/>
              <w:bottom w:w="0" w:type="dxa"/>
              <w:right w:w="0" w:type="dxa"/>
            </w:tcMar>
            <w:hideMark/>
          </w:tcPr>
          <w:p w14:paraId="608116A6" w14:textId="77777777" w:rsidR="00367EB7" w:rsidRPr="00367EB7" w:rsidRDefault="00367EB7" w:rsidP="00367EB7">
            <w:pPr>
              <w:jc w:val="both"/>
            </w:pPr>
            <w:r w:rsidRPr="00367EB7">
              <w:t>Ao juízo da comarca da cidade Alfa (0,10).</w:t>
            </w:r>
          </w:p>
        </w:tc>
        <w:tc>
          <w:tcPr>
            <w:tcW w:w="0" w:type="auto"/>
            <w:tcBorders>
              <w:top w:val="nil"/>
              <w:left w:val="nil"/>
              <w:bottom w:val="single" w:sz="8" w:space="0" w:color="auto"/>
              <w:right w:val="single" w:sz="8" w:space="0" w:color="auto"/>
            </w:tcBorders>
            <w:tcMar>
              <w:top w:w="52" w:type="dxa"/>
              <w:left w:w="0" w:type="dxa"/>
              <w:bottom w:w="0" w:type="dxa"/>
              <w:right w:w="0" w:type="dxa"/>
            </w:tcMar>
            <w:hideMark/>
          </w:tcPr>
          <w:p w14:paraId="534ED3B7" w14:textId="77777777" w:rsidR="00367EB7" w:rsidRPr="00367EB7" w:rsidRDefault="00367EB7" w:rsidP="00367EB7">
            <w:pPr>
              <w:jc w:val="both"/>
            </w:pPr>
            <w:r w:rsidRPr="00367EB7">
              <w:t>0,00/0,10</w:t>
            </w:r>
          </w:p>
        </w:tc>
      </w:tr>
      <w:tr w:rsidR="00367EB7" w:rsidRPr="00367EB7" w14:paraId="66051FB1" w14:textId="77777777">
        <w:tc>
          <w:tcPr>
            <w:tcW w:w="0" w:type="auto"/>
            <w:gridSpan w:val="3"/>
            <w:tcBorders>
              <w:top w:val="nil"/>
              <w:left w:val="single" w:sz="8" w:space="0" w:color="auto"/>
              <w:bottom w:val="single" w:sz="8" w:space="0" w:color="auto"/>
              <w:right w:val="single" w:sz="8" w:space="0" w:color="auto"/>
            </w:tcBorders>
            <w:tcMar>
              <w:top w:w="52" w:type="dxa"/>
              <w:left w:w="0" w:type="dxa"/>
              <w:bottom w:w="0" w:type="dxa"/>
              <w:right w:w="0" w:type="dxa"/>
            </w:tcMar>
            <w:hideMark/>
          </w:tcPr>
          <w:p w14:paraId="7E69AAAF" w14:textId="77777777" w:rsidR="00367EB7" w:rsidRPr="00367EB7" w:rsidRDefault="00367EB7" w:rsidP="00367EB7">
            <w:pPr>
              <w:jc w:val="both"/>
            </w:pPr>
            <w:r w:rsidRPr="00367EB7">
              <w:rPr>
                <w:b/>
                <w:bCs/>
              </w:rPr>
              <w:t>Partes</w:t>
            </w:r>
          </w:p>
        </w:tc>
        <w:tc>
          <w:tcPr>
            <w:tcW w:w="0" w:type="auto"/>
            <w:tcBorders>
              <w:top w:val="nil"/>
              <w:left w:val="nil"/>
              <w:bottom w:val="single" w:sz="8" w:space="0" w:color="auto"/>
              <w:right w:val="single" w:sz="8" w:space="0" w:color="auto"/>
            </w:tcBorders>
            <w:tcMar>
              <w:top w:w="52" w:type="dxa"/>
              <w:left w:w="0" w:type="dxa"/>
              <w:bottom w:w="0" w:type="dxa"/>
              <w:right w:w="0" w:type="dxa"/>
            </w:tcMar>
            <w:hideMark/>
          </w:tcPr>
          <w:p w14:paraId="36C606F1" w14:textId="77777777" w:rsidR="00367EB7" w:rsidRPr="00367EB7" w:rsidRDefault="00367EB7" w:rsidP="00367EB7">
            <w:pPr>
              <w:jc w:val="both"/>
            </w:pPr>
            <w:r w:rsidRPr="00367EB7">
              <w:t> </w:t>
            </w:r>
          </w:p>
        </w:tc>
      </w:tr>
      <w:tr w:rsidR="00367EB7" w:rsidRPr="00367EB7" w14:paraId="60414737" w14:textId="77777777">
        <w:tc>
          <w:tcPr>
            <w:tcW w:w="0" w:type="auto"/>
            <w:gridSpan w:val="3"/>
            <w:tcBorders>
              <w:top w:val="nil"/>
              <w:left w:val="single" w:sz="8" w:space="0" w:color="auto"/>
              <w:bottom w:val="single" w:sz="8" w:space="0" w:color="auto"/>
              <w:right w:val="single" w:sz="8" w:space="0" w:color="auto"/>
            </w:tcBorders>
            <w:tcMar>
              <w:top w:w="52" w:type="dxa"/>
              <w:left w:w="0" w:type="dxa"/>
              <w:bottom w:w="0" w:type="dxa"/>
              <w:right w:w="0" w:type="dxa"/>
            </w:tcMar>
            <w:hideMark/>
          </w:tcPr>
          <w:p w14:paraId="6D9DC8D4" w14:textId="77777777" w:rsidR="00367EB7" w:rsidRPr="00367EB7" w:rsidRDefault="00367EB7" w:rsidP="00367EB7">
            <w:pPr>
              <w:jc w:val="both"/>
            </w:pPr>
            <w:r w:rsidRPr="00367EB7">
              <w:t xml:space="preserve">Autora: Luísa dos Santos Bastos e sua qualificação completa (0,10) representada no ato por sua mãe Maria dos </w:t>
            </w:r>
            <w:r w:rsidRPr="00367EB7">
              <w:lastRenderedPageBreak/>
              <w:t>Santos e sua qualificação completa (0,10</w:t>
            </w:r>
            <w:proofErr w:type="gramStart"/>
            <w:r w:rsidRPr="00367EB7">
              <w:t>);  Ré</w:t>
            </w:r>
            <w:proofErr w:type="gramEnd"/>
            <w:r w:rsidRPr="00367EB7">
              <w:t>: Alice Bastos e sua qualificação completa (0,10).</w:t>
            </w:r>
          </w:p>
        </w:tc>
        <w:tc>
          <w:tcPr>
            <w:tcW w:w="0" w:type="auto"/>
            <w:tcBorders>
              <w:top w:val="nil"/>
              <w:left w:val="nil"/>
              <w:bottom w:val="single" w:sz="8" w:space="0" w:color="auto"/>
              <w:right w:val="single" w:sz="8" w:space="0" w:color="auto"/>
            </w:tcBorders>
            <w:tcMar>
              <w:top w:w="52" w:type="dxa"/>
              <w:left w:w="0" w:type="dxa"/>
              <w:bottom w:w="0" w:type="dxa"/>
              <w:right w:w="0" w:type="dxa"/>
            </w:tcMar>
            <w:vAlign w:val="center"/>
            <w:hideMark/>
          </w:tcPr>
          <w:p w14:paraId="592E4CB3" w14:textId="77777777" w:rsidR="00367EB7" w:rsidRPr="00367EB7" w:rsidRDefault="00367EB7" w:rsidP="00367EB7">
            <w:pPr>
              <w:jc w:val="both"/>
            </w:pPr>
            <w:r w:rsidRPr="00367EB7">
              <w:lastRenderedPageBreak/>
              <w:t>0,00/0,10/0,20/0,30</w:t>
            </w:r>
          </w:p>
        </w:tc>
      </w:tr>
      <w:tr w:rsidR="00367EB7" w:rsidRPr="00367EB7" w14:paraId="66CC3379" w14:textId="77777777">
        <w:tc>
          <w:tcPr>
            <w:tcW w:w="0" w:type="auto"/>
            <w:gridSpan w:val="3"/>
            <w:tcBorders>
              <w:top w:val="nil"/>
              <w:left w:val="single" w:sz="8" w:space="0" w:color="auto"/>
              <w:bottom w:val="single" w:sz="8" w:space="0" w:color="auto"/>
              <w:right w:val="single" w:sz="8" w:space="0" w:color="auto"/>
            </w:tcBorders>
            <w:tcMar>
              <w:top w:w="52" w:type="dxa"/>
              <w:left w:w="0" w:type="dxa"/>
              <w:bottom w:w="0" w:type="dxa"/>
              <w:right w:w="0" w:type="dxa"/>
            </w:tcMar>
            <w:hideMark/>
          </w:tcPr>
          <w:p w14:paraId="4356012A" w14:textId="77777777" w:rsidR="00367EB7" w:rsidRPr="00367EB7" w:rsidRDefault="00367EB7" w:rsidP="00367EB7">
            <w:pPr>
              <w:jc w:val="both"/>
            </w:pPr>
            <w:r w:rsidRPr="00367EB7">
              <w:rPr>
                <w:b/>
                <w:bCs/>
              </w:rPr>
              <w:t>Fundamentos da gratuidade de Justiça</w:t>
            </w:r>
          </w:p>
        </w:tc>
        <w:tc>
          <w:tcPr>
            <w:tcW w:w="0" w:type="auto"/>
            <w:tcBorders>
              <w:top w:val="nil"/>
              <w:left w:val="nil"/>
              <w:bottom w:val="single" w:sz="8" w:space="0" w:color="auto"/>
              <w:right w:val="single" w:sz="8" w:space="0" w:color="auto"/>
            </w:tcBorders>
            <w:tcMar>
              <w:top w:w="52" w:type="dxa"/>
              <w:left w:w="0" w:type="dxa"/>
              <w:bottom w:w="0" w:type="dxa"/>
              <w:right w:w="0" w:type="dxa"/>
            </w:tcMar>
            <w:hideMark/>
          </w:tcPr>
          <w:p w14:paraId="55778F95" w14:textId="77777777" w:rsidR="00367EB7" w:rsidRPr="00367EB7" w:rsidRDefault="00367EB7" w:rsidP="00367EB7">
            <w:pPr>
              <w:jc w:val="both"/>
            </w:pPr>
            <w:r w:rsidRPr="00367EB7">
              <w:t> </w:t>
            </w:r>
          </w:p>
        </w:tc>
      </w:tr>
      <w:tr w:rsidR="00367EB7" w:rsidRPr="00367EB7" w14:paraId="4CF50287" w14:textId="77777777">
        <w:tc>
          <w:tcPr>
            <w:tcW w:w="0" w:type="auto"/>
            <w:gridSpan w:val="3"/>
            <w:tcBorders>
              <w:top w:val="nil"/>
              <w:left w:val="single" w:sz="8" w:space="0" w:color="auto"/>
              <w:bottom w:val="single" w:sz="8" w:space="0" w:color="auto"/>
              <w:right w:val="single" w:sz="8" w:space="0" w:color="auto"/>
            </w:tcBorders>
            <w:tcMar>
              <w:top w:w="52" w:type="dxa"/>
              <w:left w:w="0" w:type="dxa"/>
              <w:bottom w:w="0" w:type="dxa"/>
              <w:right w:w="0" w:type="dxa"/>
            </w:tcMar>
            <w:hideMark/>
          </w:tcPr>
          <w:p w14:paraId="42DF9BD2" w14:textId="77777777" w:rsidR="00367EB7" w:rsidRPr="00367EB7" w:rsidRDefault="00367EB7" w:rsidP="00367EB7">
            <w:pPr>
              <w:jc w:val="both"/>
            </w:pPr>
            <w:r w:rsidRPr="00367EB7">
              <w:t>Sustentar o direito à gratuidade de justiça, já que a autora, menor que depende de pensionamento, não possui condições financeiras para suportar as custas processuais e honorários advocatícios da presente ação (0,20), com base nos artigos 98 e 99 do CPC/15 </w:t>
            </w:r>
            <w:r w:rsidRPr="00367EB7">
              <w:rPr>
                <w:b/>
                <w:bCs/>
              </w:rPr>
              <w:t>OU</w:t>
            </w:r>
            <w:r w:rsidRPr="00367EB7">
              <w:t> no Art. 1º, §§ 2º e 3º, da Lei nº 5.478 (0,10).</w:t>
            </w:r>
          </w:p>
        </w:tc>
        <w:tc>
          <w:tcPr>
            <w:tcW w:w="0" w:type="auto"/>
            <w:tcBorders>
              <w:top w:val="nil"/>
              <w:left w:val="nil"/>
              <w:bottom w:val="single" w:sz="8" w:space="0" w:color="auto"/>
              <w:right w:val="single" w:sz="8" w:space="0" w:color="auto"/>
            </w:tcBorders>
            <w:tcMar>
              <w:top w:w="52" w:type="dxa"/>
              <w:left w:w="0" w:type="dxa"/>
              <w:bottom w:w="0" w:type="dxa"/>
              <w:right w:w="0" w:type="dxa"/>
            </w:tcMar>
            <w:vAlign w:val="center"/>
            <w:hideMark/>
          </w:tcPr>
          <w:p w14:paraId="1769B297" w14:textId="77777777" w:rsidR="00367EB7" w:rsidRPr="00367EB7" w:rsidRDefault="00367EB7" w:rsidP="00367EB7">
            <w:pPr>
              <w:jc w:val="both"/>
            </w:pPr>
            <w:r w:rsidRPr="00367EB7">
              <w:t>0,00/0,20/0,30</w:t>
            </w:r>
          </w:p>
        </w:tc>
      </w:tr>
      <w:tr w:rsidR="00367EB7" w:rsidRPr="00367EB7" w14:paraId="3E5CE259" w14:textId="77777777">
        <w:tc>
          <w:tcPr>
            <w:tcW w:w="0" w:type="auto"/>
            <w:tcBorders>
              <w:top w:val="nil"/>
              <w:left w:val="single" w:sz="8" w:space="0" w:color="auto"/>
              <w:bottom w:val="single" w:sz="8" w:space="0" w:color="auto"/>
              <w:right w:val="nil"/>
            </w:tcBorders>
            <w:tcMar>
              <w:top w:w="52" w:type="dxa"/>
              <w:left w:w="0" w:type="dxa"/>
              <w:bottom w:w="0" w:type="dxa"/>
              <w:right w:w="0" w:type="dxa"/>
            </w:tcMar>
            <w:hideMark/>
          </w:tcPr>
          <w:p w14:paraId="6E6ECD4E" w14:textId="77777777" w:rsidR="00367EB7" w:rsidRPr="00367EB7" w:rsidRDefault="00367EB7" w:rsidP="00367EB7">
            <w:pPr>
              <w:jc w:val="both"/>
            </w:pPr>
            <w:r w:rsidRPr="00367EB7">
              <w:t> </w:t>
            </w:r>
          </w:p>
        </w:tc>
        <w:tc>
          <w:tcPr>
            <w:tcW w:w="0" w:type="auto"/>
            <w:tcBorders>
              <w:top w:val="nil"/>
              <w:left w:val="nil"/>
              <w:bottom w:val="single" w:sz="8" w:space="0" w:color="auto"/>
              <w:right w:val="nil"/>
            </w:tcBorders>
            <w:shd w:val="clear" w:color="auto" w:fill="DADADA"/>
            <w:tcMar>
              <w:top w:w="52" w:type="dxa"/>
              <w:left w:w="0" w:type="dxa"/>
              <w:bottom w:w="0" w:type="dxa"/>
              <w:right w:w="0" w:type="dxa"/>
            </w:tcMar>
            <w:hideMark/>
          </w:tcPr>
          <w:p w14:paraId="2BC7287E" w14:textId="77777777" w:rsidR="00367EB7" w:rsidRPr="00367EB7" w:rsidRDefault="00367EB7" w:rsidP="00367EB7">
            <w:pPr>
              <w:jc w:val="both"/>
            </w:pPr>
            <w:r w:rsidRPr="00367EB7">
              <w:rPr>
                <w:b/>
                <w:bCs/>
              </w:rPr>
              <w:t>Fundamentação fática e jurídica/legal</w:t>
            </w:r>
          </w:p>
        </w:tc>
        <w:tc>
          <w:tcPr>
            <w:tcW w:w="0" w:type="auto"/>
            <w:tcBorders>
              <w:top w:val="nil"/>
              <w:left w:val="nil"/>
              <w:bottom w:val="single" w:sz="8" w:space="0" w:color="auto"/>
              <w:right w:val="single" w:sz="8" w:space="0" w:color="auto"/>
            </w:tcBorders>
            <w:tcMar>
              <w:top w:w="52" w:type="dxa"/>
              <w:left w:w="0" w:type="dxa"/>
              <w:bottom w:w="0" w:type="dxa"/>
              <w:right w:w="0" w:type="dxa"/>
            </w:tcMar>
            <w:hideMark/>
          </w:tcPr>
          <w:p w14:paraId="126926B1" w14:textId="77777777" w:rsidR="00367EB7" w:rsidRPr="00367EB7" w:rsidRDefault="00367EB7" w:rsidP="00367EB7">
            <w:pPr>
              <w:jc w:val="both"/>
            </w:pPr>
            <w:r w:rsidRPr="00367EB7">
              <w:rPr>
                <w:b/>
                <w:bCs/>
              </w:rPr>
              <w:t> </w:t>
            </w:r>
          </w:p>
        </w:tc>
        <w:tc>
          <w:tcPr>
            <w:tcW w:w="0" w:type="auto"/>
            <w:tcBorders>
              <w:top w:val="nil"/>
              <w:left w:val="nil"/>
              <w:bottom w:val="single" w:sz="8" w:space="0" w:color="auto"/>
              <w:right w:val="single" w:sz="8" w:space="0" w:color="auto"/>
            </w:tcBorders>
            <w:tcMar>
              <w:top w:w="52" w:type="dxa"/>
              <w:left w:w="0" w:type="dxa"/>
              <w:bottom w:w="0" w:type="dxa"/>
              <w:right w:w="0" w:type="dxa"/>
            </w:tcMar>
            <w:hideMark/>
          </w:tcPr>
          <w:p w14:paraId="66FE21A0" w14:textId="77777777" w:rsidR="00367EB7" w:rsidRPr="00367EB7" w:rsidRDefault="00367EB7" w:rsidP="00367EB7">
            <w:pPr>
              <w:jc w:val="both"/>
            </w:pPr>
            <w:r w:rsidRPr="00367EB7">
              <w:t> </w:t>
            </w:r>
          </w:p>
        </w:tc>
      </w:tr>
      <w:tr w:rsidR="00367EB7" w:rsidRPr="00367EB7" w14:paraId="5DFBF777" w14:textId="77777777">
        <w:tc>
          <w:tcPr>
            <w:tcW w:w="0" w:type="auto"/>
            <w:gridSpan w:val="3"/>
            <w:tcBorders>
              <w:top w:val="nil"/>
              <w:left w:val="single" w:sz="8" w:space="0" w:color="auto"/>
              <w:bottom w:val="single" w:sz="8" w:space="0" w:color="auto"/>
              <w:right w:val="single" w:sz="8" w:space="0" w:color="auto"/>
            </w:tcBorders>
            <w:tcMar>
              <w:top w:w="52" w:type="dxa"/>
              <w:left w:w="0" w:type="dxa"/>
              <w:bottom w:w="0" w:type="dxa"/>
              <w:right w:w="0" w:type="dxa"/>
            </w:tcMar>
            <w:hideMark/>
          </w:tcPr>
          <w:p w14:paraId="0C644767" w14:textId="77777777" w:rsidR="00367EB7" w:rsidRPr="00367EB7" w:rsidRDefault="00367EB7" w:rsidP="00367EB7">
            <w:pPr>
              <w:jc w:val="both"/>
            </w:pPr>
            <w:r w:rsidRPr="00367EB7">
              <w:t>Explicar a necessidade da autora (0,30), já que sempre dependeu da pensão alimentícia do pai para seu sustento (0,30).</w:t>
            </w:r>
          </w:p>
        </w:tc>
        <w:tc>
          <w:tcPr>
            <w:tcW w:w="0" w:type="auto"/>
            <w:tcBorders>
              <w:top w:val="nil"/>
              <w:left w:val="nil"/>
              <w:bottom w:val="single" w:sz="8" w:space="0" w:color="auto"/>
              <w:right w:val="single" w:sz="8" w:space="0" w:color="auto"/>
            </w:tcBorders>
            <w:tcMar>
              <w:top w:w="52" w:type="dxa"/>
              <w:left w:w="0" w:type="dxa"/>
              <w:bottom w:w="0" w:type="dxa"/>
              <w:right w:w="0" w:type="dxa"/>
            </w:tcMar>
            <w:vAlign w:val="center"/>
            <w:hideMark/>
          </w:tcPr>
          <w:p w14:paraId="7E13F070" w14:textId="77777777" w:rsidR="00367EB7" w:rsidRPr="00367EB7" w:rsidRDefault="00367EB7" w:rsidP="00367EB7">
            <w:pPr>
              <w:jc w:val="both"/>
            </w:pPr>
            <w:r w:rsidRPr="00367EB7">
              <w:t>0,00/0,30/0,60</w:t>
            </w:r>
          </w:p>
        </w:tc>
      </w:tr>
      <w:tr w:rsidR="00367EB7" w:rsidRPr="00367EB7" w14:paraId="1BCD4434" w14:textId="77777777">
        <w:tc>
          <w:tcPr>
            <w:tcW w:w="0" w:type="auto"/>
            <w:gridSpan w:val="3"/>
            <w:tcBorders>
              <w:top w:val="nil"/>
              <w:left w:val="single" w:sz="8" w:space="0" w:color="auto"/>
              <w:bottom w:val="single" w:sz="8" w:space="0" w:color="auto"/>
              <w:right w:val="single" w:sz="8" w:space="0" w:color="auto"/>
            </w:tcBorders>
            <w:tcMar>
              <w:top w:w="52" w:type="dxa"/>
              <w:left w:w="0" w:type="dxa"/>
              <w:bottom w:w="0" w:type="dxa"/>
              <w:right w:w="0" w:type="dxa"/>
            </w:tcMar>
            <w:hideMark/>
          </w:tcPr>
          <w:p w14:paraId="265176F6" w14:textId="77777777" w:rsidR="00367EB7" w:rsidRPr="00367EB7" w:rsidRDefault="00367EB7" w:rsidP="00367EB7">
            <w:pPr>
              <w:jc w:val="both"/>
            </w:pPr>
            <w:r w:rsidRPr="00367EB7">
              <w:t xml:space="preserve">Argumentar que a mãe não tem condições </w:t>
            </w:r>
            <w:proofErr w:type="gramStart"/>
            <w:r w:rsidRPr="00367EB7">
              <w:t>de, sozinha</w:t>
            </w:r>
            <w:proofErr w:type="gramEnd"/>
            <w:r w:rsidRPr="00367EB7">
              <w:t>, manter Luísa (0,40)</w:t>
            </w:r>
          </w:p>
        </w:tc>
        <w:tc>
          <w:tcPr>
            <w:tcW w:w="0" w:type="auto"/>
            <w:tcBorders>
              <w:top w:val="nil"/>
              <w:left w:val="nil"/>
              <w:bottom w:val="single" w:sz="8" w:space="0" w:color="auto"/>
              <w:right w:val="single" w:sz="8" w:space="0" w:color="auto"/>
            </w:tcBorders>
            <w:tcMar>
              <w:top w:w="52" w:type="dxa"/>
              <w:left w:w="0" w:type="dxa"/>
              <w:bottom w:w="0" w:type="dxa"/>
              <w:right w:w="0" w:type="dxa"/>
            </w:tcMar>
            <w:hideMark/>
          </w:tcPr>
          <w:p w14:paraId="1E4D6FF8" w14:textId="77777777" w:rsidR="00367EB7" w:rsidRPr="00367EB7" w:rsidRDefault="00367EB7" w:rsidP="00367EB7">
            <w:pPr>
              <w:jc w:val="both"/>
            </w:pPr>
            <w:r w:rsidRPr="00367EB7">
              <w:t>0,00/0,40</w:t>
            </w:r>
          </w:p>
        </w:tc>
      </w:tr>
      <w:tr w:rsidR="00367EB7" w:rsidRPr="00367EB7" w14:paraId="6F915393" w14:textId="77777777">
        <w:tc>
          <w:tcPr>
            <w:tcW w:w="0" w:type="auto"/>
            <w:gridSpan w:val="3"/>
            <w:tcBorders>
              <w:top w:val="nil"/>
              <w:left w:val="single" w:sz="8" w:space="0" w:color="auto"/>
              <w:bottom w:val="single" w:sz="8" w:space="0" w:color="auto"/>
              <w:right w:val="single" w:sz="8" w:space="0" w:color="auto"/>
            </w:tcBorders>
            <w:tcMar>
              <w:top w:w="52" w:type="dxa"/>
              <w:left w:w="0" w:type="dxa"/>
              <w:bottom w:w="0" w:type="dxa"/>
              <w:right w:w="0" w:type="dxa"/>
            </w:tcMar>
            <w:hideMark/>
          </w:tcPr>
          <w:p w14:paraId="2CBE40D4" w14:textId="77777777" w:rsidR="00367EB7" w:rsidRPr="00367EB7" w:rsidRDefault="00367EB7" w:rsidP="00367EB7">
            <w:pPr>
              <w:jc w:val="both"/>
            </w:pPr>
            <w:r w:rsidRPr="00367EB7">
              <w:t>Indicar a possibilidade dos alimentos pela avó paterna, que goza de confortável situação patrimonial (0,40).</w:t>
            </w:r>
          </w:p>
        </w:tc>
        <w:tc>
          <w:tcPr>
            <w:tcW w:w="0" w:type="auto"/>
            <w:tcBorders>
              <w:top w:val="nil"/>
              <w:left w:val="nil"/>
              <w:bottom w:val="single" w:sz="8" w:space="0" w:color="auto"/>
              <w:right w:val="single" w:sz="8" w:space="0" w:color="auto"/>
            </w:tcBorders>
            <w:tcMar>
              <w:top w:w="52" w:type="dxa"/>
              <w:left w:w="0" w:type="dxa"/>
              <w:bottom w:w="0" w:type="dxa"/>
              <w:right w:w="0" w:type="dxa"/>
            </w:tcMar>
            <w:vAlign w:val="center"/>
            <w:hideMark/>
          </w:tcPr>
          <w:p w14:paraId="19C9D8DD" w14:textId="77777777" w:rsidR="00367EB7" w:rsidRPr="00367EB7" w:rsidRDefault="00367EB7" w:rsidP="00367EB7">
            <w:pPr>
              <w:jc w:val="both"/>
            </w:pPr>
            <w:r w:rsidRPr="00367EB7">
              <w:t>0,00/0,40</w:t>
            </w:r>
          </w:p>
        </w:tc>
      </w:tr>
      <w:tr w:rsidR="00367EB7" w:rsidRPr="00367EB7" w14:paraId="256CEED8" w14:textId="77777777">
        <w:tc>
          <w:tcPr>
            <w:tcW w:w="0" w:type="auto"/>
            <w:gridSpan w:val="3"/>
            <w:tcBorders>
              <w:top w:val="nil"/>
              <w:left w:val="single" w:sz="8" w:space="0" w:color="auto"/>
              <w:bottom w:val="single" w:sz="8" w:space="0" w:color="auto"/>
              <w:right w:val="single" w:sz="8" w:space="0" w:color="auto"/>
            </w:tcBorders>
            <w:tcMar>
              <w:top w:w="52" w:type="dxa"/>
              <w:left w:w="0" w:type="dxa"/>
              <w:bottom w:w="0" w:type="dxa"/>
              <w:right w:w="0" w:type="dxa"/>
            </w:tcMar>
            <w:hideMark/>
          </w:tcPr>
          <w:p w14:paraId="35401E92" w14:textId="77777777" w:rsidR="00367EB7" w:rsidRPr="00367EB7" w:rsidRDefault="00367EB7" w:rsidP="00367EB7">
            <w:pPr>
              <w:jc w:val="both"/>
            </w:pPr>
            <w:r w:rsidRPr="00367EB7">
              <w:t>Tratar da admissibilidade dos alimentos avoengos (0,70), previstos no Art. 1.698 do CC (0,10).</w:t>
            </w:r>
          </w:p>
        </w:tc>
        <w:tc>
          <w:tcPr>
            <w:tcW w:w="0" w:type="auto"/>
            <w:tcBorders>
              <w:top w:val="nil"/>
              <w:left w:val="nil"/>
              <w:bottom w:val="single" w:sz="8" w:space="0" w:color="auto"/>
              <w:right w:val="single" w:sz="8" w:space="0" w:color="auto"/>
            </w:tcBorders>
            <w:tcMar>
              <w:top w:w="52" w:type="dxa"/>
              <w:left w:w="0" w:type="dxa"/>
              <w:bottom w:w="0" w:type="dxa"/>
              <w:right w:w="0" w:type="dxa"/>
            </w:tcMar>
            <w:vAlign w:val="center"/>
            <w:hideMark/>
          </w:tcPr>
          <w:p w14:paraId="77E19DBA" w14:textId="77777777" w:rsidR="00367EB7" w:rsidRPr="00367EB7" w:rsidRDefault="00367EB7" w:rsidP="00367EB7">
            <w:pPr>
              <w:jc w:val="both"/>
            </w:pPr>
            <w:r w:rsidRPr="00367EB7">
              <w:t>0,00/0,70/0,80</w:t>
            </w:r>
          </w:p>
        </w:tc>
      </w:tr>
      <w:tr w:rsidR="00367EB7" w:rsidRPr="00367EB7" w14:paraId="557FD7E4" w14:textId="77777777">
        <w:tc>
          <w:tcPr>
            <w:tcW w:w="0" w:type="auto"/>
            <w:gridSpan w:val="3"/>
            <w:tcBorders>
              <w:top w:val="nil"/>
              <w:left w:val="single" w:sz="8" w:space="0" w:color="auto"/>
              <w:bottom w:val="single" w:sz="8" w:space="0" w:color="auto"/>
              <w:right w:val="single" w:sz="8" w:space="0" w:color="auto"/>
            </w:tcBorders>
            <w:tcMar>
              <w:top w:w="52" w:type="dxa"/>
              <w:left w:w="0" w:type="dxa"/>
              <w:bottom w:w="0" w:type="dxa"/>
              <w:right w:w="0" w:type="dxa"/>
            </w:tcMar>
            <w:hideMark/>
          </w:tcPr>
          <w:p w14:paraId="5F139B20" w14:textId="77777777" w:rsidR="00367EB7" w:rsidRPr="00367EB7" w:rsidRDefault="00367EB7" w:rsidP="00367EB7">
            <w:pPr>
              <w:jc w:val="both"/>
            </w:pPr>
            <w:r w:rsidRPr="00367EB7">
              <w:t>Abordar o caráter subsidiário da obrigação (0,40).</w:t>
            </w:r>
          </w:p>
        </w:tc>
        <w:tc>
          <w:tcPr>
            <w:tcW w:w="0" w:type="auto"/>
            <w:tcBorders>
              <w:top w:val="nil"/>
              <w:left w:val="nil"/>
              <w:bottom w:val="single" w:sz="8" w:space="0" w:color="auto"/>
              <w:right w:val="single" w:sz="8" w:space="0" w:color="auto"/>
            </w:tcBorders>
            <w:tcMar>
              <w:top w:w="52" w:type="dxa"/>
              <w:left w:w="0" w:type="dxa"/>
              <w:bottom w:w="0" w:type="dxa"/>
              <w:right w:w="0" w:type="dxa"/>
            </w:tcMar>
            <w:hideMark/>
          </w:tcPr>
          <w:p w14:paraId="0E32FF7B" w14:textId="77777777" w:rsidR="00367EB7" w:rsidRPr="00367EB7" w:rsidRDefault="00367EB7" w:rsidP="00367EB7">
            <w:pPr>
              <w:jc w:val="both"/>
            </w:pPr>
            <w:r w:rsidRPr="00367EB7">
              <w:t>0,00/0,40</w:t>
            </w:r>
          </w:p>
        </w:tc>
      </w:tr>
      <w:tr w:rsidR="00367EB7" w:rsidRPr="00367EB7" w14:paraId="79057017" w14:textId="77777777">
        <w:tc>
          <w:tcPr>
            <w:tcW w:w="0" w:type="auto"/>
            <w:gridSpan w:val="3"/>
            <w:tcBorders>
              <w:top w:val="nil"/>
              <w:left w:val="single" w:sz="8" w:space="0" w:color="auto"/>
              <w:bottom w:val="single" w:sz="8" w:space="0" w:color="auto"/>
              <w:right w:val="single" w:sz="8" w:space="0" w:color="auto"/>
            </w:tcBorders>
            <w:tcMar>
              <w:top w:w="52" w:type="dxa"/>
              <w:left w:w="0" w:type="dxa"/>
              <w:bottom w:w="0" w:type="dxa"/>
              <w:right w:w="0" w:type="dxa"/>
            </w:tcMar>
            <w:hideMark/>
          </w:tcPr>
          <w:p w14:paraId="248A273D" w14:textId="77777777" w:rsidR="00367EB7" w:rsidRPr="00367EB7" w:rsidRDefault="00367EB7" w:rsidP="00367EB7">
            <w:pPr>
              <w:jc w:val="both"/>
            </w:pPr>
            <w:r w:rsidRPr="00367EB7">
              <w:t>Indicar o cabimento da concessão de alimentos provisórios (0,50), na forma do Art. 4º da Lei n. 5.478 (0,10).</w:t>
            </w:r>
          </w:p>
        </w:tc>
        <w:tc>
          <w:tcPr>
            <w:tcW w:w="0" w:type="auto"/>
            <w:tcBorders>
              <w:top w:val="nil"/>
              <w:left w:val="nil"/>
              <w:bottom w:val="single" w:sz="8" w:space="0" w:color="auto"/>
              <w:right w:val="single" w:sz="8" w:space="0" w:color="auto"/>
            </w:tcBorders>
            <w:tcMar>
              <w:top w:w="52" w:type="dxa"/>
              <w:left w:w="0" w:type="dxa"/>
              <w:bottom w:w="0" w:type="dxa"/>
              <w:right w:w="0" w:type="dxa"/>
            </w:tcMar>
            <w:vAlign w:val="center"/>
            <w:hideMark/>
          </w:tcPr>
          <w:p w14:paraId="631007BB" w14:textId="77777777" w:rsidR="00367EB7" w:rsidRPr="00367EB7" w:rsidRDefault="00367EB7" w:rsidP="00367EB7">
            <w:pPr>
              <w:jc w:val="both"/>
            </w:pPr>
            <w:r w:rsidRPr="00367EB7">
              <w:t>0,00/0,50/0,60</w:t>
            </w:r>
          </w:p>
        </w:tc>
      </w:tr>
      <w:tr w:rsidR="00367EB7" w:rsidRPr="00367EB7" w14:paraId="22121FBD" w14:textId="77777777">
        <w:tc>
          <w:tcPr>
            <w:tcW w:w="0" w:type="auto"/>
            <w:gridSpan w:val="3"/>
            <w:tcBorders>
              <w:top w:val="nil"/>
              <w:left w:val="single" w:sz="8" w:space="0" w:color="auto"/>
              <w:bottom w:val="single" w:sz="8" w:space="0" w:color="auto"/>
              <w:right w:val="single" w:sz="8" w:space="0" w:color="auto"/>
            </w:tcBorders>
            <w:tcMar>
              <w:top w:w="52" w:type="dxa"/>
              <w:left w:w="0" w:type="dxa"/>
              <w:bottom w:w="0" w:type="dxa"/>
              <w:right w:w="0" w:type="dxa"/>
            </w:tcMar>
            <w:hideMark/>
          </w:tcPr>
          <w:p w14:paraId="60AA166B" w14:textId="77777777" w:rsidR="00367EB7" w:rsidRPr="00367EB7" w:rsidRDefault="00367EB7" w:rsidP="00367EB7">
            <w:pPr>
              <w:jc w:val="both"/>
            </w:pPr>
            <w:r w:rsidRPr="00367EB7">
              <w:rPr>
                <w:b/>
                <w:bCs/>
              </w:rPr>
              <w:t>Formular corretamente os pedidos</w:t>
            </w:r>
          </w:p>
        </w:tc>
        <w:tc>
          <w:tcPr>
            <w:tcW w:w="0" w:type="auto"/>
            <w:tcBorders>
              <w:top w:val="nil"/>
              <w:left w:val="nil"/>
              <w:bottom w:val="single" w:sz="8" w:space="0" w:color="auto"/>
              <w:right w:val="single" w:sz="8" w:space="0" w:color="auto"/>
            </w:tcBorders>
            <w:tcMar>
              <w:top w:w="52" w:type="dxa"/>
              <w:left w:w="0" w:type="dxa"/>
              <w:bottom w:w="0" w:type="dxa"/>
              <w:right w:w="0" w:type="dxa"/>
            </w:tcMar>
            <w:hideMark/>
          </w:tcPr>
          <w:p w14:paraId="782AEEA5" w14:textId="77777777" w:rsidR="00367EB7" w:rsidRPr="00367EB7" w:rsidRDefault="00367EB7" w:rsidP="00367EB7">
            <w:pPr>
              <w:jc w:val="both"/>
            </w:pPr>
            <w:r w:rsidRPr="00367EB7">
              <w:t> </w:t>
            </w:r>
          </w:p>
        </w:tc>
      </w:tr>
      <w:tr w:rsidR="00367EB7" w:rsidRPr="00367EB7" w14:paraId="4E5B77EB" w14:textId="77777777">
        <w:tc>
          <w:tcPr>
            <w:tcW w:w="0" w:type="auto"/>
            <w:gridSpan w:val="3"/>
            <w:tcBorders>
              <w:top w:val="nil"/>
              <w:left w:val="single" w:sz="8" w:space="0" w:color="auto"/>
              <w:bottom w:val="single" w:sz="8" w:space="0" w:color="auto"/>
              <w:right w:val="single" w:sz="8" w:space="0" w:color="auto"/>
            </w:tcBorders>
            <w:tcMar>
              <w:top w:w="52" w:type="dxa"/>
              <w:left w:w="0" w:type="dxa"/>
              <w:bottom w:w="0" w:type="dxa"/>
              <w:right w:w="0" w:type="dxa"/>
            </w:tcMar>
            <w:hideMark/>
          </w:tcPr>
          <w:p w14:paraId="2C584970" w14:textId="77777777" w:rsidR="00367EB7" w:rsidRPr="00367EB7" w:rsidRDefault="00367EB7" w:rsidP="00367EB7">
            <w:pPr>
              <w:jc w:val="both"/>
            </w:pPr>
            <w:r w:rsidRPr="00367EB7">
              <w:t>I) deferimento de gratuidade de justiça (0,10).</w:t>
            </w:r>
          </w:p>
        </w:tc>
        <w:tc>
          <w:tcPr>
            <w:tcW w:w="0" w:type="auto"/>
            <w:tcBorders>
              <w:top w:val="nil"/>
              <w:left w:val="nil"/>
              <w:bottom w:val="single" w:sz="8" w:space="0" w:color="auto"/>
              <w:right w:val="single" w:sz="8" w:space="0" w:color="auto"/>
            </w:tcBorders>
            <w:tcMar>
              <w:top w:w="52" w:type="dxa"/>
              <w:left w:w="0" w:type="dxa"/>
              <w:bottom w:w="0" w:type="dxa"/>
              <w:right w:w="0" w:type="dxa"/>
            </w:tcMar>
            <w:hideMark/>
          </w:tcPr>
          <w:p w14:paraId="520614DE" w14:textId="77777777" w:rsidR="00367EB7" w:rsidRPr="00367EB7" w:rsidRDefault="00367EB7" w:rsidP="00367EB7">
            <w:pPr>
              <w:jc w:val="both"/>
            </w:pPr>
            <w:r w:rsidRPr="00367EB7">
              <w:t>0,00/0,10</w:t>
            </w:r>
          </w:p>
        </w:tc>
      </w:tr>
      <w:tr w:rsidR="00367EB7" w:rsidRPr="00367EB7" w14:paraId="7B306A08" w14:textId="77777777">
        <w:tc>
          <w:tcPr>
            <w:tcW w:w="0" w:type="auto"/>
            <w:gridSpan w:val="3"/>
            <w:tcBorders>
              <w:top w:val="nil"/>
              <w:left w:val="single" w:sz="8" w:space="0" w:color="auto"/>
              <w:bottom w:val="single" w:sz="8" w:space="0" w:color="auto"/>
              <w:right w:val="single" w:sz="8" w:space="0" w:color="auto"/>
            </w:tcBorders>
            <w:tcMar>
              <w:top w:w="52" w:type="dxa"/>
              <w:left w:w="0" w:type="dxa"/>
              <w:bottom w:w="0" w:type="dxa"/>
              <w:right w:w="0" w:type="dxa"/>
            </w:tcMar>
            <w:hideMark/>
          </w:tcPr>
          <w:p w14:paraId="26144219" w14:textId="77777777" w:rsidR="00367EB7" w:rsidRPr="00367EB7" w:rsidRDefault="00367EB7" w:rsidP="00367EB7">
            <w:pPr>
              <w:jc w:val="both"/>
            </w:pPr>
            <w:r w:rsidRPr="00367EB7">
              <w:t>II) fixação, em sede liminar, de alimentos provisórios no valor de R$ 1.500,00 (0,20).</w:t>
            </w:r>
          </w:p>
        </w:tc>
        <w:tc>
          <w:tcPr>
            <w:tcW w:w="0" w:type="auto"/>
            <w:tcBorders>
              <w:top w:val="nil"/>
              <w:left w:val="nil"/>
              <w:bottom w:val="single" w:sz="8" w:space="0" w:color="auto"/>
              <w:right w:val="single" w:sz="8" w:space="0" w:color="auto"/>
            </w:tcBorders>
            <w:tcMar>
              <w:top w:w="52" w:type="dxa"/>
              <w:left w:w="0" w:type="dxa"/>
              <w:bottom w:w="0" w:type="dxa"/>
              <w:right w:w="0" w:type="dxa"/>
            </w:tcMar>
            <w:hideMark/>
          </w:tcPr>
          <w:p w14:paraId="723876BF" w14:textId="77777777" w:rsidR="00367EB7" w:rsidRPr="00367EB7" w:rsidRDefault="00367EB7" w:rsidP="00367EB7">
            <w:pPr>
              <w:jc w:val="both"/>
            </w:pPr>
            <w:r w:rsidRPr="00367EB7">
              <w:t>0,00/0,20</w:t>
            </w:r>
          </w:p>
        </w:tc>
      </w:tr>
      <w:tr w:rsidR="00367EB7" w:rsidRPr="00367EB7" w14:paraId="37749648" w14:textId="77777777">
        <w:tc>
          <w:tcPr>
            <w:tcW w:w="0" w:type="auto"/>
            <w:gridSpan w:val="3"/>
            <w:tcBorders>
              <w:top w:val="nil"/>
              <w:left w:val="single" w:sz="8" w:space="0" w:color="auto"/>
              <w:bottom w:val="single" w:sz="8" w:space="0" w:color="auto"/>
              <w:right w:val="single" w:sz="8" w:space="0" w:color="auto"/>
            </w:tcBorders>
            <w:tcMar>
              <w:top w:w="52" w:type="dxa"/>
              <w:left w:w="0" w:type="dxa"/>
              <w:bottom w:w="0" w:type="dxa"/>
              <w:right w:w="0" w:type="dxa"/>
            </w:tcMar>
            <w:hideMark/>
          </w:tcPr>
          <w:p w14:paraId="0B609D6F" w14:textId="77777777" w:rsidR="00367EB7" w:rsidRPr="00367EB7" w:rsidRDefault="00367EB7" w:rsidP="00367EB7">
            <w:pPr>
              <w:jc w:val="both"/>
            </w:pPr>
            <w:r w:rsidRPr="00367EB7">
              <w:t>III) procedência final do pedido com a condenação da ré no pagamento mensal de alimentos definitivos no valor de R$ 1.500,00 (0,30).</w:t>
            </w:r>
          </w:p>
        </w:tc>
        <w:tc>
          <w:tcPr>
            <w:tcW w:w="0" w:type="auto"/>
            <w:tcBorders>
              <w:top w:val="nil"/>
              <w:left w:val="nil"/>
              <w:bottom w:val="single" w:sz="8" w:space="0" w:color="auto"/>
              <w:right w:val="single" w:sz="8" w:space="0" w:color="auto"/>
            </w:tcBorders>
            <w:tcMar>
              <w:top w:w="52" w:type="dxa"/>
              <w:left w:w="0" w:type="dxa"/>
              <w:bottom w:w="0" w:type="dxa"/>
              <w:right w:w="0" w:type="dxa"/>
            </w:tcMar>
            <w:vAlign w:val="center"/>
            <w:hideMark/>
          </w:tcPr>
          <w:p w14:paraId="14846DCA" w14:textId="77777777" w:rsidR="00367EB7" w:rsidRPr="00367EB7" w:rsidRDefault="00367EB7" w:rsidP="00367EB7">
            <w:pPr>
              <w:jc w:val="both"/>
            </w:pPr>
            <w:r w:rsidRPr="00367EB7">
              <w:t>0,00/0,30</w:t>
            </w:r>
          </w:p>
        </w:tc>
      </w:tr>
      <w:tr w:rsidR="00367EB7" w:rsidRPr="00367EB7" w14:paraId="485270DC" w14:textId="77777777">
        <w:tc>
          <w:tcPr>
            <w:tcW w:w="0" w:type="auto"/>
            <w:gridSpan w:val="3"/>
            <w:tcBorders>
              <w:top w:val="nil"/>
              <w:left w:val="single" w:sz="8" w:space="0" w:color="auto"/>
              <w:bottom w:val="single" w:sz="8" w:space="0" w:color="auto"/>
              <w:right w:val="single" w:sz="8" w:space="0" w:color="auto"/>
            </w:tcBorders>
            <w:tcMar>
              <w:top w:w="52" w:type="dxa"/>
              <w:left w:w="0" w:type="dxa"/>
              <w:bottom w:w="0" w:type="dxa"/>
              <w:right w:w="0" w:type="dxa"/>
            </w:tcMar>
            <w:hideMark/>
          </w:tcPr>
          <w:p w14:paraId="0EB60EF8" w14:textId="77777777" w:rsidR="00367EB7" w:rsidRPr="00367EB7" w:rsidRDefault="00367EB7" w:rsidP="00367EB7">
            <w:pPr>
              <w:jc w:val="both"/>
            </w:pPr>
            <w:r w:rsidRPr="00367EB7">
              <w:t>IV) a produção de todas as provas em direito admitidas (0,10), em especial de prova oral com oitiva de testemunhas, depoimento pessoal da ré e prova documental suplementar (0,10).</w:t>
            </w:r>
          </w:p>
        </w:tc>
        <w:tc>
          <w:tcPr>
            <w:tcW w:w="0" w:type="auto"/>
            <w:tcBorders>
              <w:top w:val="nil"/>
              <w:left w:val="nil"/>
              <w:bottom w:val="single" w:sz="8" w:space="0" w:color="auto"/>
              <w:right w:val="single" w:sz="8" w:space="0" w:color="auto"/>
            </w:tcBorders>
            <w:tcMar>
              <w:top w:w="52" w:type="dxa"/>
              <w:left w:w="0" w:type="dxa"/>
              <w:bottom w:w="0" w:type="dxa"/>
              <w:right w:w="0" w:type="dxa"/>
            </w:tcMar>
            <w:vAlign w:val="center"/>
            <w:hideMark/>
          </w:tcPr>
          <w:p w14:paraId="7968E627" w14:textId="77777777" w:rsidR="00367EB7" w:rsidRPr="00367EB7" w:rsidRDefault="00367EB7" w:rsidP="00367EB7">
            <w:pPr>
              <w:jc w:val="both"/>
            </w:pPr>
            <w:r w:rsidRPr="00367EB7">
              <w:t>0,00/0,10/0,20</w:t>
            </w:r>
          </w:p>
        </w:tc>
      </w:tr>
      <w:tr w:rsidR="00367EB7" w:rsidRPr="00367EB7" w14:paraId="3012B9BC" w14:textId="77777777">
        <w:tc>
          <w:tcPr>
            <w:tcW w:w="0" w:type="auto"/>
            <w:gridSpan w:val="3"/>
            <w:tcBorders>
              <w:top w:val="nil"/>
              <w:left w:val="single" w:sz="8" w:space="0" w:color="auto"/>
              <w:bottom w:val="single" w:sz="8" w:space="0" w:color="auto"/>
              <w:right w:val="single" w:sz="8" w:space="0" w:color="auto"/>
            </w:tcBorders>
            <w:tcMar>
              <w:top w:w="52" w:type="dxa"/>
              <w:left w:w="0" w:type="dxa"/>
              <w:bottom w:w="0" w:type="dxa"/>
              <w:right w:w="0" w:type="dxa"/>
            </w:tcMar>
            <w:hideMark/>
          </w:tcPr>
          <w:p w14:paraId="1DC08A28" w14:textId="77777777" w:rsidR="00367EB7" w:rsidRPr="00367EB7" w:rsidRDefault="00367EB7" w:rsidP="00367EB7">
            <w:pPr>
              <w:jc w:val="both"/>
            </w:pPr>
            <w:r w:rsidRPr="00367EB7">
              <w:t>Dar à causa o valor de R$ 18.000,00 (12 vezes R$ 1.500,00</w:t>
            </w:r>
            <w:proofErr w:type="gramStart"/>
            <w:r w:rsidRPr="00367EB7">
              <w:t>)  (</w:t>
            </w:r>
            <w:proofErr w:type="gramEnd"/>
            <w:r w:rsidRPr="00367EB7">
              <w:t>0,20). </w:t>
            </w:r>
          </w:p>
        </w:tc>
        <w:tc>
          <w:tcPr>
            <w:tcW w:w="0" w:type="auto"/>
            <w:tcBorders>
              <w:top w:val="nil"/>
              <w:left w:val="nil"/>
              <w:bottom w:val="single" w:sz="8" w:space="0" w:color="auto"/>
              <w:right w:val="single" w:sz="8" w:space="0" w:color="auto"/>
            </w:tcBorders>
            <w:tcMar>
              <w:top w:w="52" w:type="dxa"/>
              <w:left w:w="0" w:type="dxa"/>
              <w:bottom w:w="0" w:type="dxa"/>
              <w:right w:w="0" w:type="dxa"/>
            </w:tcMar>
            <w:hideMark/>
          </w:tcPr>
          <w:p w14:paraId="7E80D906" w14:textId="77777777" w:rsidR="00367EB7" w:rsidRPr="00367EB7" w:rsidRDefault="00367EB7" w:rsidP="00367EB7">
            <w:pPr>
              <w:jc w:val="both"/>
            </w:pPr>
            <w:r w:rsidRPr="00367EB7">
              <w:t>0,00/0,20</w:t>
            </w:r>
          </w:p>
        </w:tc>
      </w:tr>
      <w:tr w:rsidR="00367EB7" w:rsidRPr="00367EB7" w14:paraId="186CF9F2" w14:textId="77777777">
        <w:tc>
          <w:tcPr>
            <w:tcW w:w="0" w:type="auto"/>
            <w:gridSpan w:val="3"/>
            <w:tcBorders>
              <w:top w:val="nil"/>
              <w:left w:val="single" w:sz="8" w:space="0" w:color="auto"/>
              <w:bottom w:val="single" w:sz="8" w:space="0" w:color="auto"/>
              <w:right w:val="single" w:sz="8" w:space="0" w:color="auto"/>
            </w:tcBorders>
            <w:tcMar>
              <w:top w:w="52" w:type="dxa"/>
              <w:left w:w="0" w:type="dxa"/>
              <w:bottom w:w="0" w:type="dxa"/>
              <w:right w:w="0" w:type="dxa"/>
            </w:tcMar>
            <w:hideMark/>
          </w:tcPr>
          <w:p w14:paraId="596C3331" w14:textId="77777777" w:rsidR="00367EB7" w:rsidRPr="00367EB7" w:rsidRDefault="00367EB7" w:rsidP="00367EB7">
            <w:pPr>
              <w:jc w:val="both"/>
            </w:pPr>
            <w:r w:rsidRPr="00367EB7">
              <w:rPr>
                <w:b/>
                <w:bCs/>
              </w:rPr>
              <w:t>Fechamento</w:t>
            </w:r>
          </w:p>
        </w:tc>
        <w:tc>
          <w:tcPr>
            <w:tcW w:w="0" w:type="auto"/>
            <w:tcBorders>
              <w:top w:val="nil"/>
              <w:left w:val="nil"/>
              <w:bottom w:val="single" w:sz="8" w:space="0" w:color="auto"/>
              <w:right w:val="single" w:sz="8" w:space="0" w:color="auto"/>
            </w:tcBorders>
            <w:tcMar>
              <w:top w:w="52" w:type="dxa"/>
              <w:left w:w="0" w:type="dxa"/>
              <w:bottom w:w="0" w:type="dxa"/>
              <w:right w:w="0" w:type="dxa"/>
            </w:tcMar>
            <w:hideMark/>
          </w:tcPr>
          <w:p w14:paraId="26F4CD19" w14:textId="77777777" w:rsidR="00367EB7" w:rsidRPr="00367EB7" w:rsidRDefault="00367EB7" w:rsidP="00367EB7">
            <w:pPr>
              <w:jc w:val="both"/>
            </w:pPr>
            <w:r w:rsidRPr="00367EB7">
              <w:t> </w:t>
            </w:r>
          </w:p>
        </w:tc>
      </w:tr>
      <w:tr w:rsidR="00367EB7" w:rsidRPr="00367EB7" w14:paraId="3C6EB453" w14:textId="77777777">
        <w:tc>
          <w:tcPr>
            <w:tcW w:w="0" w:type="auto"/>
            <w:gridSpan w:val="3"/>
            <w:tcBorders>
              <w:top w:val="nil"/>
              <w:left w:val="single" w:sz="8" w:space="0" w:color="auto"/>
              <w:bottom w:val="single" w:sz="8" w:space="0" w:color="auto"/>
              <w:right w:val="single" w:sz="8" w:space="0" w:color="auto"/>
            </w:tcBorders>
            <w:tcMar>
              <w:top w:w="52" w:type="dxa"/>
              <w:left w:w="0" w:type="dxa"/>
              <w:bottom w:w="0" w:type="dxa"/>
              <w:right w:w="0" w:type="dxa"/>
            </w:tcMar>
            <w:hideMark/>
          </w:tcPr>
          <w:p w14:paraId="27BD85CB" w14:textId="77777777" w:rsidR="00367EB7" w:rsidRPr="00367EB7" w:rsidRDefault="00367EB7" w:rsidP="00367EB7">
            <w:pPr>
              <w:jc w:val="both"/>
            </w:pPr>
            <w:r w:rsidRPr="00367EB7">
              <w:t>indicar local, data, assinatura e inscrição OAB (0,10).</w:t>
            </w:r>
          </w:p>
        </w:tc>
        <w:tc>
          <w:tcPr>
            <w:tcW w:w="0" w:type="auto"/>
            <w:tcBorders>
              <w:top w:val="nil"/>
              <w:left w:val="nil"/>
              <w:bottom w:val="single" w:sz="8" w:space="0" w:color="auto"/>
              <w:right w:val="single" w:sz="8" w:space="0" w:color="auto"/>
            </w:tcBorders>
            <w:tcMar>
              <w:top w:w="52" w:type="dxa"/>
              <w:left w:w="0" w:type="dxa"/>
              <w:bottom w:w="0" w:type="dxa"/>
              <w:right w:w="0" w:type="dxa"/>
            </w:tcMar>
            <w:hideMark/>
          </w:tcPr>
          <w:p w14:paraId="2CC27E29" w14:textId="77777777" w:rsidR="00367EB7" w:rsidRPr="00367EB7" w:rsidRDefault="00367EB7" w:rsidP="00367EB7">
            <w:pPr>
              <w:jc w:val="both"/>
            </w:pPr>
            <w:r w:rsidRPr="00367EB7">
              <w:t>0,00/0,10</w:t>
            </w:r>
          </w:p>
        </w:tc>
      </w:tr>
      <w:tr w:rsidR="00367EB7" w:rsidRPr="00367EB7" w14:paraId="093BBE53" w14:textId="77777777">
        <w:tc>
          <w:tcPr>
            <w:tcW w:w="0" w:type="auto"/>
            <w:tcBorders>
              <w:top w:val="nil"/>
              <w:left w:val="nil"/>
              <w:bottom w:val="nil"/>
              <w:right w:val="nil"/>
            </w:tcBorders>
            <w:vAlign w:val="center"/>
            <w:hideMark/>
          </w:tcPr>
          <w:p w14:paraId="7E08AE4A" w14:textId="77777777" w:rsidR="00367EB7" w:rsidRPr="00367EB7" w:rsidRDefault="00367EB7" w:rsidP="00367EB7">
            <w:pPr>
              <w:jc w:val="both"/>
            </w:pPr>
            <w:r w:rsidRPr="00367EB7">
              <w:t> </w:t>
            </w:r>
          </w:p>
        </w:tc>
        <w:tc>
          <w:tcPr>
            <w:tcW w:w="0" w:type="auto"/>
            <w:tcBorders>
              <w:top w:val="nil"/>
              <w:left w:val="nil"/>
              <w:bottom w:val="nil"/>
              <w:right w:val="nil"/>
            </w:tcBorders>
            <w:vAlign w:val="center"/>
            <w:hideMark/>
          </w:tcPr>
          <w:p w14:paraId="2E133A6E" w14:textId="77777777" w:rsidR="00367EB7" w:rsidRPr="00367EB7" w:rsidRDefault="00367EB7" w:rsidP="00367EB7">
            <w:pPr>
              <w:jc w:val="both"/>
            </w:pPr>
            <w:r w:rsidRPr="00367EB7">
              <w:t> </w:t>
            </w:r>
          </w:p>
        </w:tc>
        <w:tc>
          <w:tcPr>
            <w:tcW w:w="0" w:type="auto"/>
            <w:tcBorders>
              <w:top w:val="nil"/>
              <w:left w:val="nil"/>
              <w:bottom w:val="nil"/>
              <w:right w:val="nil"/>
            </w:tcBorders>
            <w:vAlign w:val="center"/>
            <w:hideMark/>
          </w:tcPr>
          <w:p w14:paraId="32B55704" w14:textId="77777777" w:rsidR="00367EB7" w:rsidRPr="00367EB7" w:rsidRDefault="00367EB7" w:rsidP="00367EB7">
            <w:pPr>
              <w:jc w:val="both"/>
            </w:pPr>
            <w:r w:rsidRPr="00367EB7">
              <w:t> </w:t>
            </w:r>
          </w:p>
        </w:tc>
        <w:tc>
          <w:tcPr>
            <w:tcW w:w="0" w:type="auto"/>
            <w:tcBorders>
              <w:top w:val="nil"/>
              <w:left w:val="nil"/>
              <w:bottom w:val="nil"/>
              <w:right w:val="nil"/>
            </w:tcBorders>
            <w:vAlign w:val="center"/>
            <w:hideMark/>
          </w:tcPr>
          <w:p w14:paraId="71D8121C" w14:textId="77777777" w:rsidR="00367EB7" w:rsidRPr="00367EB7" w:rsidRDefault="00367EB7" w:rsidP="00367EB7">
            <w:pPr>
              <w:jc w:val="both"/>
            </w:pPr>
            <w:r w:rsidRPr="00367EB7">
              <w:t> </w:t>
            </w:r>
          </w:p>
        </w:tc>
      </w:tr>
    </w:tbl>
    <w:p w14:paraId="1FF869E9" w14:textId="6C557C12" w:rsidR="00367EB7" w:rsidRDefault="00367EB7" w:rsidP="00367EB7">
      <w:pPr>
        <w:jc w:val="both"/>
      </w:pPr>
      <w:r>
        <w:t>Questão 1</w:t>
      </w:r>
      <w:r w:rsidR="00512656">
        <w:t xml:space="preserve">: </w:t>
      </w:r>
      <w:r>
        <w:t xml:space="preserve">Renato contratou a compra de uma obra de arte de Sebastião, mediante documento particular escrito e assinado pelas partes e duas testemunhas. Do contrato constou cláusula para a efetiva entrega do bem no prazo de um ano contado a partir da assinatura do contrato, em cujo momento Renato pagaria o restante do preço, equivalente a 30% do valor avençado. Passado esse prazo, Renato, embora não tenha quitado a parcela final, notifica Sebastião para que entregue o bem e, diante da resistência </w:t>
      </w:r>
      <w:proofErr w:type="gramStart"/>
      <w:r>
        <w:t>do mesmo</w:t>
      </w:r>
      <w:proofErr w:type="gramEnd"/>
      <w:r>
        <w:t xml:space="preserve">, moveu ação de execução para </w:t>
      </w:r>
      <w:r>
        <w:lastRenderedPageBreak/>
        <w:t>entrega de coisa, objetivando haver o bem.  Citado regularmente no processo de execução instaurado, Sebastião pretende apresentar resistência, ante a ausência do pagamento do saldo.  Diante da situação descrita, responda aos itens a seguir.</w:t>
      </w:r>
    </w:p>
    <w:p w14:paraId="5E49B8AE" w14:textId="77777777" w:rsidR="00367EB7" w:rsidRDefault="00367EB7" w:rsidP="00367EB7">
      <w:pPr>
        <w:jc w:val="both"/>
      </w:pPr>
      <w:r>
        <w:t>A) Qual o instrumento processual adequado para o executado resistir? Fundamente, apresentando os requisitos que devem ser preenchidos para sua admissão. (Valor: 0,70)</w:t>
      </w:r>
    </w:p>
    <w:p w14:paraId="1FBF4B15" w14:textId="2EB57F15" w:rsidR="00367EB7" w:rsidRDefault="00512656" w:rsidP="00367EB7">
      <w:pPr>
        <w:jc w:val="both"/>
      </w:pPr>
      <w:r w:rsidRPr="00512656">
        <w:t xml:space="preserve">GABARITO: </w:t>
      </w:r>
      <w:r w:rsidR="00367EB7">
        <w:t>O executado, para defender seus interesses, poderá se valer dos Embargos à Execução, previstos no Art. 914 do CPC/15. Os embargos têm natureza de ação e, para o seu oferecimento, devem ser preenchidos os requisitos genéricos da petição inicial, previstos no Art. 319 e no Art. 320, ambos do CPC/15, instruídos com cópias das peças processuais relevantes da execução, que poderão ser declaradas autênticas pelo advogado (Art. 914, § 1º, do CPC/15) além do requisito da tempestividade previsto no Art. 915 do CPC/15.</w:t>
      </w:r>
    </w:p>
    <w:p w14:paraId="7CFD6B2D" w14:textId="77777777" w:rsidR="00367EB7" w:rsidRDefault="00367EB7" w:rsidP="00367EB7">
      <w:pPr>
        <w:jc w:val="both"/>
      </w:pPr>
    </w:p>
    <w:p w14:paraId="5D9DDF76" w14:textId="77777777" w:rsidR="00367EB7" w:rsidRDefault="00367EB7" w:rsidP="00367EB7">
      <w:pPr>
        <w:jc w:val="both"/>
      </w:pPr>
      <w:r>
        <w:t>B)  Para defender a resistência descrita, qual fundamento pode ser apresentado? (Valor: 0,55)</w:t>
      </w:r>
    </w:p>
    <w:p w14:paraId="720C6EE1" w14:textId="26DBE55E" w:rsidR="00367EB7" w:rsidRDefault="00512656" w:rsidP="00367EB7">
      <w:pPr>
        <w:jc w:val="both"/>
      </w:pPr>
      <w:r w:rsidRPr="00512656">
        <w:t>GABARITO:</w:t>
      </w:r>
      <w:r w:rsidR="00367EB7">
        <w:t xml:space="preserve"> Sebastião deve fundamentar os Embargos à Execução na exceção do contrato não cumprido, na forma do Art. 477 do CC, cuja matéria é própria para o incidente, na forma do Art. 917 do CPC/15.</w:t>
      </w:r>
    </w:p>
    <w:p w14:paraId="5AFE531E" w14:textId="77777777" w:rsidR="00367EB7" w:rsidRDefault="00367EB7" w:rsidP="00367EB7">
      <w:pPr>
        <w:jc w:val="both"/>
      </w:pPr>
    </w:p>
    <w:p w14:paraId="27EEEB24" w14:textId="531A4237" w:rsidR="00367EB7" w:rsidRDefault="00367EB7" w:rsidP="00367EB7">
      <w:pPr>
        <w:jc w:val="both"/>
      </w:pPr>
      <w:r w:rsidRPr="00367EB7">
        <w:rPr>
          <w:noProof/>
        </w:rPr>
        <w:drawing>
          <wp:inline distT="0" distB="0" distL="0" distR="0" wp14:anchorId="316B0B9A" wp14:editId="10B2CEF8">
            <wp:extent cx="5400040" cy="1245235"/>
            <wp:effectExtent l="0" t="0" r="0" b="0"/>
            <wp:docPr id="177980478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804785" name=""/>
                    <pic:cNvPicPr/>
                  </pic:nvPicPr>
                  <pic:blipFill>
                    <a:blip r:embed="rId5"/>
                    <a:stretch>
                      <a:fillRect/>
                    </a:stretch>
                  </pic:blipFill>
                  <pic:spPr>
                    <a:xfrm>
                      <a:off x="0" y="0"/>
                      <a:ext cx="5400040" cy="1245235"/>
                    </a:xfrm>
                    <a:prstGeom prst="rect">
                      <a:avLst/>
                    </a:prstGeom>
                  </pic:spPr>
                </pic:pic>
              </a:graphicData>
            </a:graphic>
          </wp:inline>
        </w:drawing>
      </w:r>
    </w:p>
    <w:p w14:paraId="0A118AF8" w14:textId="77777777" w:rsidR="00367EB7" w:rsidRDefault="00367EB7" w:rsidP="00367EB7">
      <w:pPr>
        <w:jc w:val="both"/>
      </w:pPr>
    </w:p>
    <w:p w14:paraId="00E73D25" w14:textId="4483D292" w:rsidR="00367EB7" w:rsidRDefault="00367EB7" w:rsidP="00367EB7">
      <w:pPr>
        <w:jc w:val="both"/>
      </w:pPr>
      <w:r>
        <w:t>Questão 2</w:t>
      </w:r>
      <w:r w:rsidR="00512656">
        <w:t xml:space="preserve">: </w:t>
      </w:r>
      <w:r>
        <w:t>Murilo precisou se submeter a procedimento cirúrgico de emergência. Foi operado por médico de sua confiança e pela equipe por ele indicada, nenhum dos quais era preposto do hospital onde ocorreu o procedimento. Durante a cirurgia, uma grave lesão foi causada ao intestino do paciente, o que provocou sérias complicações no período de convalescença. Murilo ficou internado em estado grave por vários meses, mas, felizmente, conseguiu se recuperar sem nenhuma sequela do ocorrido. Uma vez recuperado, ele decide ajuizar ação indenizatória por danos materiais e morais em face do médico que o atendeu. Na inicial, o autor pretende a produção de prova pericial, para demonstrar a imperícia do médico.</w:t>
      </w:r>
      <w:r w:rsidR="00512656">
        <w:t xml:space="preserve"> P</w:t>
      </w:r>
      <w:r>
        <w:t>or meio de decisão interlocutória, porém, o juízo indeferiu o pedido de produção probatória, ao argumento de que, tratando-se de relação de consumo, a responsabilidade do médico é objetiva e, portanto, não seria relevante determinar se o profissional fora imperito.</w:t>
      </w:r>
      <w:r w:rsidR="00512656">
        <w:t xml:space="preserve"> </w:t>
      </w:r>
      <w:r>
        <w:t>Diante do caso narrado, responda às questões a seguir.</w:t>
      </w:r>
    </w:p>
    <w:p w14:paraId="3AC12432" w14:textId="69AA20A4" w:rsidR="00367EB7" w:rsidRDefault="00367EB7" w:rsidP="00367EB7">
      <w:pPr>
        <w:jc w:val="both"/>
      </w:pPr>
      <w:proofErr w:type="gramStart"/>
      <w:r>
        <w:t>A)Há</w:t>
      </w:r>
      <w:proofErr w:type="gramEnd"/>
      <w:r>
        <w:t xml:space="preserve"> razão no argumento apresentado pela decisão que denegou a produção de prova pericial? (Valor: 0,65)</w:t>
      </w:r>
    </w:p>
    <w:p w14:paraId="14265EAC" w14:textId="3D00DDCC" w:rsidR="00367EB7" w:rsidRPr="00512656" w:rsidRDefault="00512656" w:rsidP="00367EB7">
      <w:pPr>
        <w:jc w:val="both"/>
        <w:rPr>
          <w:b/>
          <w:bCs/>
        </w:rPr>
      </w:pPr>
      <w:r w:rsidRPr="00512656">
        <w:rPr>
          <w:b/>
          <w:bCs/>
        </w:rPr>
        <w:t>GABARITO:</w:t>
      </w:r>
      <w:r w:rsidR="00367EB7" w:rsidRPr="00367EB7">
        <w:t> A responsabilidade civil pessoal do médico, assim como a dos demais profissionais liberais, segue o regime subjetivo, conforme previsto pelo Art.  951 do Código Civil e pelo Art.  14, § 4º, do Código de Defesa do Consumidor. Inadequada, portanto, a invocação do regime de responsabilidade civil independente de culpa.</w:t>
      </w:r>
    </w:p>
    <w:p w14:paraId="423F6B96" w14:textId="77777777" w:rsidR="00367EB7" w:rsidRDefault="00367EB7" w:rsidP="00367EB7">
      <w:pPr>
        <w:jc w:val="both"/>
      </w:pPr>
    </w:p>
    <w:p w14:paraId="160F2074" w14:textId="77777777" w:rsidR="00367EB7" w:rsidRDefault="00367EB7" w:rsidP="00367EB7">
      <w:pPr>
        <w:jc w:val="both"/>
      </w:pPr>
    </w:p>
    <w:p w14:paraId="3361F976" w14:textId="5D5CB624" w:rsidR="00367EB7" w:rsidRDefault="00367EB7" w:rsidP="00367EB7">
      <w:pPr>
        <w:jc w:val="both"/>
      </w:pPr>
      <w:proofErr w:type="gramStart"/>
      <w:r>
        <w:t>B)Qual</w:t>
      </w:r>
      <w:proofErr w:type="gramEnd"/>
      <w:r>
        <w:t xml:space="preserve"> é a via adequada para Murilo impugnar a decisão que lhe foi desfavorável? (Valor: 0,60)</w:t>
      </w:r>
    </w:p>
    <w:p w14:paraId="002A5449" w14:textId="0B53B110" w:rsidR="00367EB7" w:rsidRPr="00367EB7" w:rsidRDefault="00512656" w:rsidP="00367EB7">
      <w:pPr>
        <w:jc w:val="both"/>
      </w:pPr>
      <w:r w:rsidRPr="00512656">
        <w:t xml:space="preserve">GABARITO: </w:t>
      </w:r>
      <w:r w:rsidR="00367EB7" w:rsidRPr="00367EB7">
        <w:t>Embora se trate de decisão interlocutória, a matéria julgada pelo juízo não se enquadra no rol das hipóteses de cabimento do agravo de instrumento previstas pelo Art. 1.015 do CPC/2015. Por isso, a decisão deverá ser impugnada como questão preliminar em eventual recurso de apelação (Art. 1.009, § 1º, do CPC/2015). </w:t>
      </w:r>
    </w:p>
    <w:p w14:paraId="16E2AF1C" w14:textId="24BC6D7C" w:rsidR="00367EB7" w:rsidRPr="00367EB7" w:rsidRDefault="00367EB7" w:rsidP="00367EB7">
      <w:pPr>
        <w:jc w:val="both"/>
        <w:rPr>
          <w:b/>
          <w:bCs/>
        </w:rPr>
      </w:pPr>
    </w:p>
    <w:tbl>
      <w:tblPr>
        <w:tblW w:w="0" w:type="auto"/>
        <w:tblInd w:w="15" w:type="dxa"/>
        <w:tblCellMar>
          <w:left w:w="0" w:type="dxa"/>
          <w:right w:w="0" w:type="dxa"/>
        </w:tblCellMar>
        <w:tblLook w:val="04A0" w:firstRow="1" w:lastRow="0" w:firstColumn="1" w:lastColumn="0" w:noHBand="0" w:noVBand="1"/>
      </w:tblPr>
      <w:tblGrid>
        <w:gridCol w:w="5590"/>
        <w:gridCol w:w="2899"/>
      </w:tblGrid>
      <w:tr w:rsidR="00367EB7" w:rsidRPr="00367EB7" w14:paraId="721A472F" w14:textId="77777777">
        <w:tc>
          <w:tcPr>
            <w:tcW w:w="0" w:type="auto"/>
            <w:tcBorders>
              <w:top w:val="single" w:sz="8" w:space="0" w:color="auto"/>
              <w:left w:val="nil"/>
              <w:bottom w:val="single" w:sz="8" w:space="0" w:color="auto"/>
              <w:right w:val="single" w:sz="8" w:space="0" w:color="auto"/>
            </w:tcBorders>
            <w:shd w:val="clear" w:color="auto" w:fill="943634"/>
            <w:tcMar>
              <w:top w:w="53" w:type="dxa"/>
              <w:left w:w="70" w:type="dxa"/>
              <w:bottom w:w="0" w:type="dxa"/>
              <w:right w:w="20" w:type="dxa"/>
            </w:tcMar>
            <w:vAlign w:val="center"/>
            <w:hideMark/>
          </w:tcPr>
          <w:p w14:paraId="11648A7C" w14:textId="77777777" w:rsidR="00367EB7" w:rsidRPr="00367EB7" w:rsidRDefault="00367EB7" w:rsidP="00367EB7">
            <w:pPr>
              <w:jc w:val="both"/>
            </w:pPr>
            <w:r w:rsidRPr="00367EB7">
              <w:rPr>
                <w:b/>
                <w:bCs/>
              </w:rPr>
              <w:t>ITEM </w:t>
            </w:r>
          </w:p>
        </w:tc>
        <w:tc>
          <w:tcPr>
            <w:tcW w:w="0" w:type="auto"/>
            <w:tcBorders>
              <w:top w:val="single" w:sz="8" w:space="0" w:color="auto"/>
              <w:left w:val="nil"/>
              <w:bottom w:val="single" w:sz="8" w:space="0" w:color="auto"/>
              <w:right w:val="nil"/>
            </w:tcBorders>
            <w:shd w:val="clear" w:color="auto" w:fill="943634"/>
            <w:tcMar>
              <w:top w:w="53" w:type="dxa"/>
              <w:left w:w="70" w:type="dxa"/>
              <w:bottom w:w="0" w:type="dxa"/>
              <w:right w:w="20" w:type="dxa"/>
            </w:tcMar>
            <w:vAlign w:val="center"/>
            <w:hideMark/>
          </w:tcPr>
          <w:p w14:paraId="59216B32" w14:textId="77777777" w:rsidR="00367EB7" w:rsidRPr="00367EB7" w:rsidRDefault="00367EB7" w:rsidP="00367EB7">
            <w:pPr>
              <w:jc w:val="both"/>
            </w:pPr>
            <w:r w:rsidRPr="00367EB7">
              <w:rPr>
                <w:b/>
                <w:bCs/>
              </w:rPr>
              <w:t>PONTUAÇÃO</w:t>
            </w:r>
          </w:p>
        </w:tc>
      </w:tr>
      <w:tr w:rsidR="00367EB7" w:rsidRPr="00367EB7" w14:paraId="35E5823C" w14:textId="77777777">
        <w:tc>
          <w:tcPr>
            <w:tcW w:w="0" w:type="auto"/>
            <w:tcBorders>
              <w:top w:val="nil"/>
              <w:left w:val="single" w:sz="8" w:space="0" w:color="auto"/>
              <w:bottom w:val="single" w:sz="8" w:space="0" w:color="auto"/>
              <w:right w:val="single" w:sz="8" w:space="0" w:color="auto"/>
            </w:tcBorders>
            <w:tcMar>
              <w:top w:w="53" w:type="dxa"/>
              <w:left w:w="70" w:type="dxa"/>
              <w:bottom w:w="0" w:type="dxa"/>
              <w:right w:w="20" w:type="dxa"/>
            </w:tcMar>
            <w:hideMark/>
          </w:tcPr>
          <w:p w14:paraId="7529D719" w14:textId="77777777" w:rsidR="00367EB7" w:rsidRPr="00367EB7" w:rsidRDefault="00367EB7" w:rsidP="00367EB7">
            <w:pPr>
              <w:jc w:val="both"/>
            </w:pPr>
            <w:r w:rsidRPr="00367EB7">
              <w:rPr>
                <w:b/>
                <w:bCs/>
              </w:rPr>
              <w:t>A.</w:t>
            </w:r>
            <w:r w:rsidRPr="00367EB7">
              <w:t> Não. A responsabilidade civil pessoal do médico segue o regime subjetivo (0,30) e, portanto, demanda a aferição da imperícia ou outro comportamento culposo do profissional (0,25), nos termos do Art. 951 do Código Civil </w:t>
            </w:r>
            <w:r w:rsidRPr="00367EB7">
              <w:rPr>
                <w:b/>
                <w:bCs/>
              </w:rPr>
              <w:t>OU</w:t>
            </w:r>
            <w:r w:rsidRPr="00367EB7">
              <w:t> do Art. 14, § 4º, do CDC (0,10).</w:t>
            </w:r>
          </w:p>
        </w:tc>
        <w:tc>
          <w:tcPr>
            <w:tcW w:w="0" w:type="auto"/>
            <w:tcBorders>
              <w:top w:val="nil"/>
              <w:left w:val="nil"/>
              <w:bottom w:val="single" w:sz="8" w:space="0" w:color="auto"/>
              <w:right w:val="single" w:sz="8" w:space="0" w:color="auto"/>
            </w:tcBorders>
            <w:tcMar>
              <w:top w:w="53" w:type="dxa"/>
              <w:left w:w="70" w:type="dxa"/>
              <w:bottom w:w="0" w:type="dxa"/>
              <w:right w:w="20" w:type="dxa"/>
            </w:tcMar>
            <w:vAlign w:val="center"/>
            <w:hideMark/>
          </w:tcPr>
          <w:p w14:paraId="612DD231" w14:textId="77777777" w:rsidR="00367EB7" w:rsidRPr="00367EB7" w:rsidRDefault="00367EB7" w:rsidP="00367EB7">
            <w:pPr>
              <w:jc w:val="both"/>
            </w:pPr>
            <w:r w:rsidRPr="00367EB7">
              <w:t>0,00/0,25/0,30/0,35/0,40/ 0,55/0,65</w:t>
            </w:r>
          </w:p>
        </w:tc>
      </w:tr>
      <w:tr w:rsidR="00367EB7" w:rsidRPr="00367EB7" w14:paraId="66A857A5" w14:textId="77777777">
        <w:tc>
          <w:tcPr>
            <w:tcW w:w="0" w:type="auto"/>
            <w:tcBorders>
              <w:top w:val="nil"/>
              <w:left w:val="single" w:sz="8" w:space="0" w:color="auto"/>
              <w:bottom w:val="single" w:sz="8" w:space="0" w:color="auto"/>
              <w:right w:val="single" w:sz="8" w:space="0" w:color="auto"/>
            </w:tcBorders>
            <w:tcMar>
              <w:top w:w="53" w:type="dxa"/>
              <w:left w:w="70" w:type="dxa"/>
              <w:bottom w:w="0" w:type="dxa"/>
              <w:right w:w="20" w:type="dxa"/>
            </w:tcMar>
            <w:hideMark/>
          </w:tcPr>
          <w:p w14:paraId="40C208DF" w14:textId="77777777" w:rsidR="00367EB7" w:rsidRPr="00367EB7" w:rsidRDefault="00367EB7" w:rsidP="00367EB7">
            <w:pPr>
              <w:jc w:val="both"/>
            </w:pPr>
            <w:r w:rsidRPr="00367EB7">
              <w:rPr>
                <w:b/>
                <w:bCs/>
              </w:rPr>
              <w:t>B.</w:t>
            </w:r>
            <w:r w:rsidRPr="00367EB7">
              <w:t> Murilo deverá suscitar a questão como preliminar em eventual recurso de apelação (0,50), nos termos do Art. 1.009, § 1º, do CPC/15 (0,10).</w:t>
            </w:r>
          </w:p>
        </w:tc>
        <w:tc>
          <w:tcPr>
            <w:tcW w:w="0" w:type="auto"/>
            <w:tcBorders>
              <w:top w:val="nil"/>
              <w:left w:val="nil"/>
              <w:bottom w:val="single" w:sz="8" w:space="0" w:color="auto"/>
              <w:right w:val="single" w:sz="8" w:space="0" w:color="auto"/>
            </w:tcBorders>
            <w:tcMar>
              <w:top w:w="53" w:type="dxa"/>
              <w:left w:w="70" w:type="dxa"/>
              <w:bottom w:w="0" w:type="dxa"/>
              <w:right w:w="20" w:type="dxa"/>
            </w:tcMar>
            <w:vAlign w:val="center"/>
            <w:hideMark/>
          </w:tcPr>
          <w:p w14:paraId="6EDB1B04" w14:textId="77777777" w:rsidR="00367EB7" w:rsidRPr="00367EB7" w:rsidRDefault="00367EB7" w:rsidP="00367EB7">
            <w:pPr>
              <w:jc w:val="both"/>
            </w:pPr>
            <w:r w:rsidRPr="00367EB7">
              <w:t>0,00/0,50/0,60</w:t>
            </w:r>
          </w:p>
        </w:tc>
      </w:tr>
    </w:tbl>
    <w:p w14:paraId="5FC934E3" w14:textId="77777777" w:rsidR="00512656" w:rsidRDefault="00367EB7" w:rsidP="00367EB7">
      <w:pPr>
        <w:jc w:val="both"/>
      </w:pPr>
      <w:r w:rsidRPr="00367EB7">
        <w:rPr>
          <w:b/>
          <w:bCs/>
        </w:rPr>
        <w:t> </w:t>
      </w:r>
    </w:p>
    <w:p w14:paraId="1194884C" w14:textId="0E07E42C" w:rsidR="00367EB7" w:rsidRPr="00367EB7" w:rsidRDefault="00367EB7" w:rsidP="00367EB7">
      <w:pPr>
        <w:jc w:val="both"/>
      </w:pPr>
      <w:r w:rsidRPr="00367EB7">
        <w:rPr>
          <w:b/>
          <w:bCs/>
        </w:rPr>
        <w:t>Questão 3</w:t>
      </w:r>
      <w:r w:rsidR="00512656">
        <w:t xml:space="preserve">: </w:t>
      </w:r>
      <w:r w:rsidRPr="00367EB7">
        <w:t>Júlia, proprietária de um imóvel em área urbana, assinou um contrato de locação com Marcos, pelo prazo de 36 meses. Ajustou-se que a garantia seria fiança, prestada pela mãe de Marcos, Ivone. Após 12 meses de contrato, Marcos começou a realizar o pagamento do aluguel com atraso, e, após realizar algumas consultas, Júlia constatou que a mãe de Marcos, Ivone, havia falecido, sem deixar bens, sendo Marcos o único herdeiro.</w:t>
      </w:r>
      <w:r w:rsidR="00512656">
        <w:t xml:space="preserve"> </w:t>
      </w:r>
      <w:r w:rsidRPr="00367EB7">
        <w:t>Júlia pediu a Marcos que indicasse um novo fiador, mas este permaneceu silente, além de tornar-se inadimplente, sem honrar com o pagamento do aluguel, da quota condominial e dos tributos, há mais de dois meses. </w:t>
      </w:r>
      <w:r w:rsidR="00512656">
        <w:t xml:space="preserve"> </w:t>
      </w:r>
      <w:r w:rsidRPr="00367EB7">
        <w:t>Diante de tal situação, responda aos itens a seguir.</w:t>
      </w:r>
    </w:p>
    <w:p w14:paraId="7510375A" w14:textId="4F6BEC3A" w:rsidR="00367EB7" w:rsidRPr="00367EB7" w:rsidRDefault="00367EB7" w:rsidP="00367EB7">
      <w:pPr>
        <w:jc w:val="both"/>
      </w:pPr>
      <w:r w:rsidRPr="00367EB7">
        <w:t> </w:t>
      </w:r>
      <w:r w:rsidRPr="00367EB7">
        <w:rPr>
          <w:b/>
          <w:bCs/>
        </w:rPr>
        <w:t>A)</w:t>
      </w:r>
      <w:r w:rsidRPr="00367EB7">
        <w:t>   Quais são os direitos de Júlia perante Marcos, identificando o regramento legal aplicado à espécie? </w:t>
      </w:r>
      <w:r w:rsidRPr="00367EB7">
        <w:rPr>
          <w:b/>
          <w:bCs/>
        </w:rPr>
        <w:t>(Valor: 0,70)</w:t>
      </w:r>
    </w:p>
    <w:p w14:paraId="2F6B98BF" w14:textId="00BD2AA9" w:rsidR="00367EB7" w:rsidRPr="00367EB7" w:rsidRDefault="00512656" w:rsidP="00367EB7">
      <w:pPr>
        <w:jc w:val="both"/>
      </w:pPr>
      <w:r w:rsidRPr="00512656">
        <w:t xml:space="preserve">GABARITO: </w:t>
      </w:r>
      <w:r w:rsidR="00367EB7" w:rsidRPr="00367EB7">
        <w:t xml:space="preserve">Júlia pode pleitear os </w:t>
      </w:r>
      <w:proofErr w:type="gramStart"/>
      <w:r w:rsidR="00367EB7" w:rsidRPr="00367EB7">
        <w:t>alugueis</w:t>
      </w:r>
      <w:proofErr w:type="gramEnd"/>
      <w:r w:rsidR="00367EB7" w:rsidRPr="00367EB7">
        <w:t xml:space="preserve"> vencidos e demais encargos locatícios (quota condominial e tributos), com base no Art. 22, inciso I, da Lei nº 8.245/91, e os que vencerem no curso da ação, segundo o Art. 62, inciso II, alínea a, da Lei nº 8245/91. Júlia também tem direito à rescisão contratual, desocupação e retomada do imóvel (Art. 9º, inciso II, da Lei nº 8.245/91).</w:t>
      </w:r>
    </w:p>
    <w:p w14:paraId="494275B4" w14:textId="77777777" w:rsidR="00367EB7" w:rsidRPr="00367EB7" w:rsidRDefault="00367EB7" w:rsidP="00367EB7">
      <w:pPr>
        <w:jc w:val="both"/>
      </w:pPr>
      <w:r w:rsidRPr="00367EB7">
        <w:rPr>
          <w:b/>
          <w:bCs/>
        </w:rPr>
        <w:t>B)</w:t>
      </w:r>
      <w:r w:rsidRPr="00367EB7">
        <w:t xml:space="preserve">   Qual é a medida judicial cabível para a defesa dos interesses de Júlia, considerando a pretensão de receber os </w:t>
      </w:r>
      <w:proofErr w:type="gramStart"/>
      <w:r w:rsidRPr="00367EB7">
        <w:t>alugueis</w:t>
      </w:r>
      <w:proofErr w:type="gramEnd"/>
      <w:r w:rsidRPr="00367EB7">
        <w:t xml:space="preserve"> e encargos inadimplidos e a necessidade de imediata desocupação do imóvel? </w:t>
      </w:r>
      <w:r w:rsidRPr="00367EB7">
        <w:rPr>
          <w:b/>
          <w:bCs/>
        </w:rPr>
        <w:t>(Valor: 0,55)</w:t>
      </w:r>
    </w:p>
    <w:p w14:paraId="497AA8E0" w14:textId="7A5EE8BF" w:rsidR="00367EB7" w:rsidRDefault="00512656" w:rsidP="00367EB7">
      <w:pPr>
        <w:jc w:val="both"/>
      </w:pPr>
      <w:r w:rsidRPr="00512656">
        <w:t xml:space="preserve">GABARITO: </w:t>
      </w:r>
      <w:r w:rsidR="00367EB7" w:rsidRPr="00367EB7">
        <w:t>A ação cabível é a ação de despejo e condenação ao pagamento das verbas devidas, conforme o Art. 62 da Lei nº 8.245/91. Considerando que a locação está destituída de garantia, em razão da morte do fiador, que não foi substituído pelo locatário (Art. 40, inciso I e parágrafo único, da Lei nº 8.245/91), e o interesse na imediata desocupação do imóvel, é cabível o pedido de desocupação liminar, prestando caução equivalente a 3 meses de aluguel, com base no Art. 59, § 1º, inciso IX, da Lei nº 8.245/91.</w:t>
      </w:r>
    </w:p>
    <w:p w14:paraId="1AC88555" w14:textId="2613F17B" w:rsidR="00367EB7" w:rsidRPr="00367EB7" w:rsidRDefault="00367EB7" w:rsidP="00367EB7">
      <w:pPr>
        <w:jc w:val="both"/>
        <w:rPr>
          <w:b/>
          <w:bCs/>
        </w:rPr>
      </w:pPr>
    </w:p>
    <w:tbl>
      <w:tblPr>
        <w:tblW w:w="0" w:type="auto"/>
        <w:tblCellMar>
          <w:left w:w="0" w:type="dxa"/>
          <w:right w:w="0" w:type="dxa"/>
        </w:tblCellMar>
        <w:tblLook w:val="04A0" w:firstRow="1" w:lastRow="0" w:firstColumn="1" w:lastColumn="0" w:noHBand="0" w:noVBand="1"/>
      </w:tblPr>
      <w:tblGrid>
        <w:gridCol w:w="6883"/>
        <w:gridCol w:w="1611"/>
      </w:tblGrid>
      <w:tr w:rsidR="00367EB7" w:rsidRPr="00367EB7" w14:paraId="5A0702FC" w14:textId="77777777">
        <w:tc>
          <w:tcPr>
            <w:tcW w:w="0" w:type="auto"/>
            <w:tcBorders>
              <w:top w:val="single" w:sz="8" w:space="0" w:color="auto"/>
              <w:left w:val="single" w:sz="8" w:space="0" w:color="auto"/>
              <w:bottom w:val="single" w:sz="8" w:space="0" w:color="auto"/>
              <w:right w:val="nil"/>
            </w:tcBorders>
            <w:shd w:val="clear" w:color="auto" w:fill="943634"/>
            <w:tcMar>
              <w:top w:w="53" w:type="dxa"/>
              <w:left w:w="68" w:type="dxa"/>
              <w:bottom w:w="0" w:type="dxa"/>
              <w:right w:w="20" w:type="dxa"/>
            </w:tcMar>
            <w:vAlign w:val="center"/>
            <w:hideMark/>
          </w:tcPr>
          <w:p w14:paraId="19AFCA80" w14:textId="77777777" w:rsidR="00367EB7" w:rsidRPr="00367EB7" w:rsidRDefault="00367EB7" w:rsidP="00367EB7">
            <w:pPr>
              <w:jc w:val="both"/>
            </w:pPr>
            <w:r w:rsidRPr="00367EB7">
              <w:rPr>
                <w:b/>
                <w:bCs/>
              </w:rPr>
              <w:lastRenderedPageBreak/>
              <w:t>ITEM </w:t>
            </w:r>
          </w:p>
        </w:tc>
        <w:tc>
          <w:tcPr>
            <w:tcW w:w="0" w:type="auto"/>
            <w:tcBorders>
              <w:top w:val="single" w:sz="8" w:space="0" w:color="auto"/>
              <w:left w:val="nil"/>
              <w:bottom w:val="single" w:sz="8" w:space="0" w:color="auto"/>
              <w:right w:val="nil"/>
            </w:tcBorders>
            <w:shd w:val="clear" w:color="auto" w:fill="943634"/>
            <w:tcMar>
              <w:top w:w="53" w:type="dxa"/>
              <w:left w:w="68" w:type="dxa"/>
              <w:bottom w:w="0" w:type="dxa"/>
              <w:right w:w="20" w:type="dxa"/>
            </w:tcMar>
            <w:vAlign w:val="center"/>
            <w:hideMark/>
          </w:tcPr>
          <w:p w14:paraId="07F841F5" w14:textId="77777777" w:rsidR="00367EB7" w:rsidRPr="00367EB7" w:rsidRDefault="00367EB7" w:rsidP="00367EB7">
            <w:pPr>
              <w:jc w:val="both"/>
            </w:pPr>
            <w:r w:rsidRPr="00367EB7">
              <w:rPr>
                <w:b/>
                <w:bCs/>
              </w:rPr>
              <w:t>PONTUAÇÃO</w:t>
            </w:r>
          </w:p>
        </w:tc>
      </w:tr>
      <w:tr w:rsidR="00367EB7" w:rsidRPr="00367EB7" w14:paraId="3EA6ACD6" w14:textId="77777777">
        <w:tc>
          <w:tcPr>
            <w:tcW w:w="0" w:type="auto"/>
            <w:tcBorders>
              <w:top w:val="nil"/>
              <w:left w:val="single" w:sz="8" w:space="0" w:color="auto"/>
              <w:bottom w:val="single" w:sz="8" w:space="0" w:color="auto"/>
              <w:right w:val="single" w:sz="8" w:space="0" w:color="auto"/>
            </w:tcBorders>
            <w:tcMar>
              <w:top w:w="53" w:type="dxa"/>
              <w:left w:w="68" w:type="dxa"/>
              <w:bottom w:w="0" w:type="dxa"/>
              <w:right w:w="20" w:type="dxa"/>
            </w:tcMar>
            <w:hideMark/>
          </w:tcPr>
          <w:p w14:paraId="5A0A531D" w14:textId="77777777" w:rsidR="00367EB7" w:rsidRPr="00367EB7" w:rsidRDefault="00367EB7" w:rsidP="00367EB7">
            <w:pPr>
              <w:jc w:val="both"/>
            </w:pPr>
            <w:r w:rsidRPr="00367EB7">
              <w:rPr>
                <w:b/>
                <w:bCs/>
              </w:rPr>
              <w:t>A</w:t>
            </w:r>
            <w:r w:rsidRPr="00367EB7">
              <w:rPr>
                <w:b/>
                <w:bCs/>
                <w:vertAlign w:val="subscript"/>
              </w:rPr>
              <w:t>1</w:t>
            </w:r>
            <w:r w:rsidRPr="00367EB7">
              <w:rPr>
                <w:b/>
                <w:bCs/>
              </w:rPr>
              <w:t>.</w:t>
            </w:r>
            <w:r w:rsidRPr="00367EB7">
              <w:t xml:space="preserve"> os </w:t>
            </w:r>
            <w:proofErr w:type="gramStart"/>
            <w:r w:rsidRPr="00367EB7">
              <w:t>alugueis</w:t>
            </w:r>
            <w:proofErr w:type="gramEnd"/>
            <w:r w:rsidRPr="00367EB7">
              <w:t xml:space="preserve"> vencidos (0,15), devidos conforme o Art. 22, inciso I, da Lei nº 8245/91 (0,10);</w:t>
            </w:r>
          </w:p>
        </w:tc>
        <w:tc>
          <w:tcPr>
            <w:tcW w:w="0" w:type="auto"/>
            <w:tcBorders>
              <w:top w:val="nil"/>
              <w:left w:val="nil"/>
              <w:bottom w:val="single" w:sz="8" w:space="0" w:color="auto"/>
              <w:right w:val="single" w:sz="8" w:space="0" w:color="auto"/>
            </w:tcBorders>
            <w:tcMar>
              <w:top w:w="53" w:type="dxa"/>
              <w:left w:w="68" w:type="dxa"/>
              <w:bottom w:w="0" w:type="dxa"/>
              <w:right w:w="20" w:type="dxa"/>
            </w:tcMar>
            <w:hideMark/>
          </w:tcPr>
          <w:p w14:paraId="59236A02" w14:textId="77777777" w:rsidR="00367EB7" w:rsidRPr="00367EB7" w:rsidRDefault="00367EB7" w:rsidP="00367EB7">
            <w:pPr>
              <w:jc w:val="both"/>
            </w:pPr>
            <w:r w:rsidRPr="00367EB7">
              <w:t>0,00/0,15/0,25</w:t>
            </w:r>
          </w:p>
        </w:tc>
      </w:tr>
      <w:tr w:rsidR="00367EB7" w:rsidRPr="00367EB7" w14:paraId="40A6381C" w14:textId="77777777">
        <w:tc>
          <w:tcPr>
            <w:tcW w:w="0" w:type="auto"/>
            <w:tcBorders>
              <w:top w:val="nil"/>
              <w:left w:val="single" w:sz="8" w:space="0" w:color="auto"/>
              <w:bottom w:val="single" w:sz="8" w:space="0" w:color="auto"/>
              <w:right w:val="single" w:sz="8" w:space="0" w:color="auto"/>
            </w:tcBorders>
            <w:tcMar>
              <w:top w:w="53" w:type="dxa"/>
              <w:left w:w="68" w:type="dxa"/>
              <w:bottom w:w="0" w:type="dxa"/>
              <w:right w:w="20" w:type="dxa"/>
            </w:tcMar>
            <w:hideMark/>
          </w:tcPr>
          <w:p w14:paraId="1B416CFB" w14:textId="77777777" w:rsidR="00367EB7" w:rsidRPr="00367EB7" w:rsidRDefault="00367EB7" w:rsidP="00367EB7">
            <w:pPr>
              <w:jc w:val="both"/>
            </w:pPr>
            <w:r w:rsidRPr="00367EB7">
              <w:rPr>
                <w:b/>
                <w:bCs/>
              </w:rPr>
              <w:t>A</w:t>
            </w:r>
            <w:proofErr w:type="gramStart"/>
            <w:r w:rsidRPr="00367EB7">
              <w:rPr>
                <w:b/>
                <w:bCs/>
                <w:vertAlign w:val="subscript"/>
              </w:rPr>
              <w:t>2</w:t>
            </w:r>
            <w:r w:rsidRPr="00367EB7">
              <w:rPr>
                <w:b/>
                <w:bCs/>
              </w:rPr>
              <w:t>.</w:t>
            </w:r>
            <w:r w:rsidRPr="00367EB7">
              <w:t>os</w:t>
            </w:r>
            <w:proofErr w:type="gramEnd"/>
            <w:r w:rsidRPr="00367EB7">
              <w:t xml:space="preserve"> que se vencerem no curso da ação (0,15), na forma do Art. 62, inciso II, alínea a, da Lei nº 8245/91 (0,10);</w:t>
            </w:r>
          </w:p>
          <w:p w14:paraId="37FE877D" w14:textId="77777777" w:rsidR="00367EB7" w:rsidRPr="00367EB7" w:rsidRDefault="00367EB7" w:rsidP="00367EB7">
            <w:pPr>
              <w:jc w:val="both"/>
            </w:pPr>
            <w:r w:rsidRPr="00367EB7">
              <w:t> </w:t>
            </w:r>
          </w:p>
        </w:tc>
        <w:tc>
          <w:tcPr>
            <w:tcW w:w="0" w:type="auto"/>
            <w:tcBorders>
              <w:top w:val="nil"/>
              <w:left w:val="nil"/>
              <w:bottom w:val="single" w:sz="8" w:space="0" w:color="auto"/>
              <w:right w:val="single" w:sz="8" w:space="0" w:color="auto"/>
            </w:tcBorders>
            <w:tcMar>
              <w:top w:w="53" w:type="dxa"/>
              <w:left w:w="68" w:type="dxa"/>
              <w:bottom w:w="0" w:type="dxa"/>
              <w:right w:w="20" w:type="dxa"/>
            </w:tcMar>
            <w:vAlign w:val="center"/>
            <w:hideMark/>
          </w:tcPr>
          <w:p w14:paraId="3AA0A9FE" w14:textId="77777777" w:rsidR="00367EB7" w:rsidRPr="00367EB7" w:rsidRDefault="00367EB7" w:rsidP="00367EB7">
            <w:pPr>
              <w:jc w:val="both"/>
            </w:pPr>
            <w:r w:rsidRPr="00367EB7">
              <w:t>0,00/0,15/0,25</w:t>
            </w:r>
          </w:p>
        </w:tc>
      </w:tr>
      <w:tr w:rsidR="00367EB7" w:rsidRPr="00367EB7" w14:paraId="239E40EB" w14:textId="77777777">
        <w:tc>
          <w:tcPr>
            <w:tcW w:w="0" w:type="auto"/>
            <w:tcBorders>
              <w:top w:val="nil"/>
              <w:left w:val="single" w:sz="8" w:space="0" w:color="auto"/>
              <w:bottom w:val="single" w:sz="8" w:space="0" w:color="auto"/>
              <w:right w:val="single" w:sz="8" w:space="0" w:color="auto"/>
            </w:tcBorders>
            <w:tcMar>
              <w:top w:w="53" w:type="dxa"/>
              <w:left w:w="68" w:type="dxa"/>
              <w:bottom w:w="0" w:type="dxa"/>
              <w:right w:w="20" w:type="dxa"/>
            </w:tcMar>
            <w:hideMark/>
          </w:tcPr>
          <w:p w14:paraId="43C364E9" w14:textId="77777777" w:rsidR="00367EB7" w:rsidRPr="00367EB7" w:rsidRDefault="00367EB7" w:rsidP="00367EB7">
            <w:pPr>
              <w:jc w:val="both"/>
            </w:pPr>
            <w:r w:rsidRPr="00367EB7">
              <w:rPr>
                <w:b/>
                <w:bCs/>
              </w:rPr>
              <w:t>A</w:t>
            </w:r>
            <w:r w:rsidRPr="00367EB7">
              <w:rPr>
                <w:b/>
                <w:bCs/>
                <w:vertAlign w:val="subscript"/>
              </w:rPr>
              <w:t>3</w:t>
            </w:r>
            <w:r w:rsidRPr="00367EB7">
              <w:rPr>
                <w:b/>
                <w:bCs/>
              </w:rPr>
              <w:t>.</w:t>
            </w:r>
            <w:r w:rsidRPr="00367EB7">
              <w:t> a rescisão contratual, desocupação e retomada do imóvel (0,10), de acordo com o Art. 9º, inciso II, da Lei nº 8.245/91 (0,10).</w:t>
            </w:r>
          </w:p>
        </w:tc>
        <w:tc>
          <w:tcPr>
            <w:tcW w:w="0" w:type="auto"/>
            <w:tcBorders>
              <w:top w:val="nil"/>
              <w:left w:val="nil"/>
              <w:bottom w:val="single" w:sz="8" w:space="0" w:color="auto"/>
              <w:right w:val="single" w:sz="8" w:space="0" w:color="auto"/>
            </w:tcBorders>
            <w:tcMar>
              <w:top w:w="53" w:type="dxa"/>
              <w:left w:w="68" w:type="dxa"/>
              <w:bottom w:w="0" w:type="dxa"/>
              <w:right w:w="20" w:type="dxa"/>
            </w:tcMar>
            <w:vAlign w:val="center"/>
            <w:hideMark/>
          </w:tcPr>
          <w:p w14:paraId="3A031736" w14:textId="77777777" w:rsidR="00367EB7" w:rsidRPr="00367EB7" w:rsidRDefault="00367EB7" w:rsidP="00367EB7">
            <w:pPr>
              <w:jc w:val="both"/>
            </w:pPr>
            <w:r w:rsidRPr="00367EB7">
              <w:t>0,00/0,10/0,20</w:t>
            </w:r>
          </w:p>
        </w:tc>
      </w:tr>
      <w:tr w:rsidR="00367EB7" w:rsidRPr="00367EB7" w14:paraId="3886E2A9" w14:textId="77777777">
        <w:tc>
          <w:tcPr>
            <w:tcW w:w="0" w:type="auto"/>
            <w:tcBorders>
              <w:top w:val="nil"/>
              <w:left w:val="single" w:sz="8" w:space="0" w:color="auto"/>
              <w:bottom w:val="single" w:sz="8" w:space="0" w:color="auto"/>
              <w:right w:val="single" w:sz="8" w:space="0" w:color="auto"/>
            </w:tcBorders>
            <w:tcMar>
              <w:top w:w="53" w:type="dxa"/>
              <w:left w:w="68" w:type="dxa"/>
              <w:bottom w:w="0" w:type="dxa"/>
              <w:right w:w="20" w:type="dxa"/>
            </w:tcMar>
            <w:hideMark/>
          </w:tcPr>
          <w:p w14:paraId="092D4A18" w14:textId="77777777" w:rsidR="00367EB7" w:rsidRPr="00367EB7" w:rsidRDefault="00367EB7" w:rsidP="00367EB7">
            <w:pPr>
              <w:jc w:val="both"/>
            </w:pPr>
            <w:r w:rsidRPr="00367EB7">
              <w:rPr>
                <w:b/>
                <w:bCs/>
              </w:rPr>
              <w:t>B</w:t>
            </w:r>
            <w:r w:rsidRPr="00367EB7">
              <w:rPr>
                <w:b/>
                <w:bCs/>
                <w:vertAlign w:val="subscript"/>
              </w:rPr>
              <w:t>1</w:t>
            </w:r>
            <w:r w:rsidRPr="00367EB7">
              <w:rPr>
                <w:b/>
                <w:bCs/>
              </w:rPr>
              <w:t>.</w:t>
            </w:r>
            <w:r w:rsidRPr="00367EB7">
              <w:t xml:space="preserve"> A ação cabível é a ação de despejo e condenação ao pagamento das verbas devidas (0,20), conforme o Art. 62 </w:t>
            </w:r>
            <w:proofErr w:type="gramStart"/>
            <w:r w:rsidRPr="00367EB7">
              <w:t>da  Lei</w:t>
            </w:r>
            <w:proofErr w:type="gramEnd"/>
            <w:r w:rsidRPr="00367EB7">
              <w:t xml:space="preserve"> nº 8.245/91 (0,10). </w:t>
            </w:r>
          </w:p>
        </w:tc>
        <w:tc>
          <w:tcPr>
            <w:tcW w:w="0" w:type="auto"/>
            <w:tcBorders>
              <w:top w:val="nil"/>
              <w:left w:val="nil"/>
              <w:bottom w:val="single" w:sz="8" w:space="0" w:color="auto"/>
              <w:right w:val="single" w:sz="8" w:space="0" w:color="auto"/>
            </w:tcBorders>
            <w:tcMar>
              <w:top w:w="53" w:type="dxa"/>
              <w:left w:w="68" w:type="dxa"/>
              <w:bottom w:w="0" w:type="dxa"/>
              <w:right w:w="20" w:type="dxa"/>
            </w:tcMar>
            <w:vAlign w:val="center"/>
            <w:hideMark/>
          </w:tcPr>
          <w:p w14:paraId="29804294" w14:textId="77777777" w:rsidR="00367EB7" w:rsidRPr="00367EB7" w:rsidRDefault="00367EB7" w:rsidP="00367EB7">
            <w:pPr>
              <w:jc w:val="both"/>
            </w:pPr>
            <w:r w:rsidRPr="00367EB7">
              <w:t>0,00/0,20/0,30</w:t>
            </w:r>
          </w:p>
        </w:tc>
      </w:tr>
      <w:tr w:rsidR="00367EB7" w:rsidRPr="00367EB7" w14:paraId="2EB4F7E3" w14:textId="77777777">
        <w:tc>
          <w:tcPr>
            <w:tcW w:w="0" w:type="auto"/>
            <w:tcBorders>
              <w:top w:val="nil"/>
              <w:left w:val="single" w:sz="8" w:space="0" w:color="auto"/>
              <w:bottom w:val="single" w:sz="8" w:space="0" w:color="auto"/>
              <w:right w:val="single" w:sz="8" w:space="0" w:color="auto"/>
            </w:tcBorders>
            <w:tcMar>
              <w:top w:w="53" w:type="dxa"/>
              <w:left w:w="68" w:type="dxa"/>
              <w:bottom w:w="0" w:type="dxa"/>
              <w:right w:w="20" w:type="dxa"/>
            </w:tcMar>
            <w:hideMark/>
          </w:tcPr>
          <w:p w14:paraId="29B23E65" w14:textId="77777777" w:rsidR="00367EB7" w:rsidRPr="00367EB7" w:rsidRDefault="00367EB7" w:rsidP="00367EB7">
            <w:pPr>
              <w:jc w:val="both"/>
            </w:pPr>
            <w:r w:rsidRPr="00367EB7">
              <w:rPr>
                <w:b/>
                <w:bCs/>
              </w:rPr>
              <w:t>B</w:t>
            </w:r>
            <w:r w:rsidRPr="00367EB7">
              <w:rPr>
                <w:b/>
                <w:bCs/>
                <w:vertAlign w:val="subscript"/>
              </w:rPr>
              <w:t>2</w:t>
            </w:r>
            <w:r w:rsidRPr="00367EB7">
              <w:rPr>
                <w:b/>
                <w:bCs/>
              </w:rPr>
              <w:t>.</w:t>
            </w:r>
            <w:r w:rsidRPr="00367EB7">
              <w:t> Considerando que a locação está destituída de garantia, é cabível o pedido de desocupação liminar, prestando caução equivalente a três meses de aluguel (0,15), conforme o Art. 59, § 1º, inciso IX, da Lei nº 8.245/91 (0,10).</w:t>
            </w:r>
          </w:p>
        </w:tc>
        <w:tc>
          <w:tcPr>
            <w:tcW w:w="0" w:type="auto"/>
            <w:tcBorders>
              <w:top w:val="nil"/>
              <w:left w:val="nil"/>
              <w:bottom w:val="single" w:sz="8" w:space="0" w:color="auto"/>
              <w:right w:val="single" w:sz="8" w:space="0" w:color="auto"/>
            </w:tcBorders>
            <w:tcMar>
              <w:top w:w="53" w:type="dxa"/>
              <w:left w:w="68" w:type="dxa"/>
              <w:bottom w:w="0" w:type="dxa"/>
              <w:right w:w="20" w:type="dxa"/>
            </w:tcMar>
            <w:vAlign w:val="center"/>
            <w:hideMark/>
          </w:tcPr>
          <w:p w14:paraId="361069BB" w14:textId="77777777" w:rsidR="00367EB7" w:rsidRPr="00367EB7" w:rsidRDefault="00367EB7" w:rsidP="00367EB7">
            <w:pPr>
              <w:jc w:val="both"/>
            </w:pPr>
            <w:r w:rsidRPr="00367EB7">
              <w:t>0,00/0,15/0,25</w:t>
            </w:r>
          </w:p>
        </w:tc>
      </w:tr>
    </w:tbl>
    <w:p w14:paraId="066A56E0" w14:textId="747BAD49" w:rsidR="00512656" w:rsidRDefault="00367EB7" w:rsidP="00367EB7">
      <w:pPr>
        <w:jc w:val="both"/>
      </w:pPr>
      <w:r w:rsidRPr="00367EB7">
        <w:rPr>
          <w:b/>
          <w:bCs/>
        </w:rPr>
        <w:t> </w:t>
      </w:r>
    </w:p>
    <w:p w14:paraId="08FDBAD6" w14:textId="5BAFA8CD" w:rsidR="00367EB7" w:rsidRPr="00367EB7" w:rsidRDefault="00367EB7" w:rsidP="00367EB7">
      <w:pPr>
        <w:jc w:val="both"/>
      </w:pPr>
      <w:r w:rsidRPr="00367EB7">
        <w:rPr>
          <w:b/>
          <w:bCs/>
        </w:rPr>
        <w:t>Questão 4</w:t>
      </w:r>
      <w:r w:rsidR="00512656">
        <w:t xml:space="preserve">: </w:t>
      </w:r>
      <w:r w:rsidRPr="00367EB7">
        <w:t>Jorge adquiriu, pela via do comércio eletrônico, um aparelho refrigerador para sua residência, com garantia contratual de 60 dias contra qualquer avaria ou defeito de fabricação. Setenta dias após o recebimento, o refrigerador começou a apresentar superaquecimento, com queda brusca de potência, com grande elevação de temperatura, tornando sua utilização inviável. </w:t>
      </w:r>
      <w:r w:rsidR="00512656">
        <w:t xml:space="preserve"> </w:t>
      </w:r>
      <w:r w:rsidRPr="00367EB7">
        <w:t>O adquirente, de imediato, comunicou à fabricante, para que esta procedesse ao conserto do produto, com a substituição das partes viciadas, se possível, e, caso contrário, promovesse a restituição imediata da quantia paga pelo bem, monetariamente atualizada. Cinco dias após a resposta administrativa negativa da fabricante, à motivação de ter “expirado o prazo de garantia contratual”, Jorge procura você, como advogado, para promover a ação de restituição dos valores pagos, monetariamente atualizados, mais perdas e danos. Na contestação judicial, Geleiras S/A apresenta defesa genérica, sem impugnar especificamente os fatos, os argumentos e os pedidos formulados pelo autor da demanda. Diante do exposto, responda aos itens a seguir. </w:t>
      </w:r>
    </w:p>
    <w:p w14:paraId="08F56336" w14:textId="77777777" w:rsidR="00367EB7" w:rsidRPr="00367EB7" w:rsidRDefault="00367EB7" w:rsidP="00367EB7">
      <w:pPr>
        <w:jc w:val="both"/>
      </w:pPr>
      <w:r w:rsidRPr="00367EB7">
        <w:rPr>
          <w:b/>
          <w:bCs/>
        </w:rPr>
        <w:t>A)   </w:t>
      </w:r>
      <w:r w:rsidRPr="00367EB7">
        <w:t>A fabricante Geleiras S/A tem razão ao argumentar, administrativamente, que não lhe compete consertar o produto, não cabendo, igualmente, a restituição dos valores, em virtude da perda do prazo da garantia contratual? </w:t>
      </w:r>
      <w:r w:rsidRPr="00367EB7">
        <w:rPr>
          <w:b/>
          <w:bCs/>
        </w:rPr>
        <w:t>(Valor: 0,90)</w:t>
      </w:r>
    </w:p>
    <w:p w14:paraId="79E85D03" w14:textId="0843BA16" w:rsidR="00367EB7" w:rsidRPr="00367EB7" w:rsidRDefault="00367EB7" w:rsidP="00367EB7">
      <w:pPr>
        <w:jc w:val="both"/>
      </w:pPr>
      <w:r w:rsidRPr="00367EB7">
        <w:t> </w:t>
      </w:r>
      <w:r w:rsidR="00512656" w:rsidRPr="00512656">
        <w:t>GABARITO:</w:t>
      </w:r>
      <w:r w:rsidRPr="00367EB7">
        <w:rPr>
          <w:b/>
          <w:bCs/>
        </w:rPr>
        <w:t> </w:t>
      </w:r>
      <w:r w:rsidRPr="00367EB7">
        <w:t>Não. Nos termos do Art. 50 do CDC, “</w:t>
      </w:r>
      <w:r w:rsidRPr="00367EB7">
        <w:rPr>
          <w:i/>
          <w:iCs/>
        </w:rPr>
        <w:t>a garantia contratual é complementar à legal e será conferida mediante termo escrito</w:t>
      </w:r>
      <w:r w:rsidRPr="00367EB7">
        <w:t>”. Sendo assim, a despeito do transcurso do prazo da garantia contratual, permanece a garantia legal, segundo a qual “</w:t>
      </w:r>
      <w:r w:rsidRPr="00367EB7">
        <w:rPr>
          <w:i/>
          <w:iCs/>
        </w:rPr>
        <w:t>o direito de reclamar pelos vícios aparentes ou de fácil constatação caduca em (...) noventa dias, tratando-se de fornecimento de serviço e de produto duráveis</w:t>
      </w:r>
      <w:r w:rsidRPr="00367EB7">
        <w:t>” (Art. 26</w:t>
      </w:r>
      <w:r w:rsidRPr="00367EB7">
        <w:rPr>
          <w:i/>
          <w:iCs/>
        </w:rPr>
        <w:t>, caput</w:t>
      </w:r>
      <w:r w:rsidRPr="00367EB7">
        <w:t> e inciso II, do CDC), destacando-se que, por se tratar de vício oculto, o prazo decadencial se inicia apenas “</w:t>
      </w:r>
      <w:proofErr w:type="gramStart"/>
      <w:r w:rsidRPr="00367EB7">
        <w:rPr>
          <w:i/>
          <w:iCs/>
        </w:rPr>
        <w:t>no momento em que</w:t>
      </w:r>
      <w:proofErr w:type="gramEnd"/>
      <w:r w:rsidRPr="00367EB7">
        <w:rPr>
          <w:i/>
          <w:iCs/>
        </w:rPr>
        <w:t xml:space="preserve"> ficar evidenciado o defeito</w:t>
      </w:r>
      <w:r w:rsidRPr="00367EB7">
        <w:t>” (Art. 26, § 3º, do CDC).</w:t>
      </w:r>
    </w:p>
    <w:p w14:paraId="48EBBC53" w14:textId="6245377F" w:rsidR="00367EB7" w:rsidRPr="00367EB7" w:rsidRDefault="00367EB7" w:rsidP="00367EB7">
      <w:pPr>
        <w:jc w:val="both"/>
      </w:pPr>
    </w:p>
    <w:p w14:paraId="16A48E5A" w14:textId="77777777" w:rsidR="00367EB7" w:rsidRPr="00367EB7" w:rsidRDefault="00367EB7" w:rsidP="00367EB7">
      <w:pPr>
        <w:jc w:val="both"/>
      </w:pPr>
      <w:r w:rsidRPr="00367EB7">
        <w:rPr>
          <w:b/>
          <w:bCs/>
        </w:rPr>
        <w:t>B)</w:t>
      </w:r>
      <w:r w:rsidRPr="00367EB7">
        <w:t>   Em regra, qual é o efeito processual decorrente da apresentação de contestação genérica? </w:t>
      </w:r>
      <w:r w:rsidRPr="00367EB7">
        <w:rPr>
          <w:b/>
          <w:bCs/>
        </w:rPr>
        <w:t>(Valor: 0,35)</w:t>
      </w:r>
    </w:p>
    <w:p w14:paraId="42EA0D57" w14:textId="36E1E34F" w:rsidR="00367EB7" w:rsidRPr="00367EB7" w:rsidRDefault="00512656" w:rsidP="00367EB7">
      <w:pPr>
        <w:jc w:val="both"/>
      </w:pPr>
      <w:r w:rsidRPr="00512656">
        <w:lastRenderedPageBreak/>
        <w:t xml:space="preserve">GABARITO: </w:t>
      </w:r>
      <w:r w:rsidR="00367EB7" w:rsidRPr="00367EB7">
        <w:t>Na forma do Art. 341, </w:t>
      </w:r>
      <w:r w:rsidR="00367EB7" w:rsidRPr="00367EB7">
        <w:rPr>
          <w:i/>
          <w:iCs/>
        </w:rPr>
        <w:t>caput</w:t>
      </w:r>
      <w:r w:rsidR="00367EB7" w:rsidRPr="00367EB7">
        <w:t>, do CPC/15, em regra, incumbe ao réu “</w:t>
      </w:r>
      <w:r w:rsidR="00367EB7" w:rsidRPr="00367EB7">
        <w:rPr>
          <w:i/>
          <w:iCs/>
        </w:rPr>
        <w:t>manifestar-se precisamente sobre as alegações de fato constantes da petição inicial, presumindo-se verdadeiras as não impugnadas</w:t>
      </w:r>
      <w:r w:rsidR="00367EB7" w:rsidRPr="00367EB7">
        <w:t> (...)”. Sendo assim, o efeito processual produzido para os casos de contestação genérica corresponde, em regra, à consideração da veracidade das alegações de fato do autor, tornando-se eles incontroversos.</w:t>
      </w:r>
    </w:p>
    <w:p w14:paraId="5F187E42" w14:textId="12DA1722" w:rsidR="00367EB7" w:rsidRPr="00367EB7" w:rsidRDefault="00367EB7" w:rsidP="00367EB7">
      <w:pPr>
        <w:jc w:val="both"/>
        <w:rPr>
          <w:b/>
          <w:bCs/>
        </w:rPr>
      </w:pPr>
    </w:p>
    <w:tbl>
      <w:tblPr>
        <w:tblW w:w="0" w:type="auto"/>
        <w:tblCellMar>
          <w:left w:w="0" w:type="dxa"/>
          <w:right w:w="0" w:type="dxa"/>
        </w:tblCellMar>
        <w:tblLook w:val="04A0" w:firstRow="1" w:lastRow="0" w:firstColumn="1" w:lastColumn="0" w:noHBand="0" w:noVBand="1"/>
      </w:tblPr>
      <w:tblGrid>
        <w:gridCol w:w="6880"/>
        <w:gridCol w:w="1614"/>
      </w:tblGrid>
      <w:tr w:rsidR="00367EB7" w:rsidRPr="00367EB7" w14:paraId="4C9D9B38" w14:textId="77777777">
        <w:tc>
          <w:tcPr>
            <w:tcW w:w="0" w:type="auto"/>
            <w:tcBorders>
              <w:top w:val="single" w:sz="8" w:space="0" w:color="auto"/>
              <w:left w:val="nil"/>
              <w:bottom w:val="single" w:sz="8" w:space="0" w:color="auto"/>
              <w:right w:val="nil"/>
            </w:tcBorders>
            <w:shd w:val="clear" w:color="auto" w:fill="943634"/>
            <w:tcMar>
              <w:top w:w="53" w:type="dxa"/>
              <w:left w:w="72" w:type="dxa"/>
              <w:bottom w:w="0" w:type="dxa"/>
              <w:right w:w="19" w:type="dxa"/>
            </w:tcMar>
            <w:vAlign w:val="center"/>
            <w:hideMark/>
          </w:tcPr>
          <w:p w14:paraId="49B09C51" w14:textId="77777777" w:rsidR="00367EB7" w:rsidRPr="00367EB7" w:rsidRDefault="00367EB7" w:rsidP="00367EB7">
            <w:pPr>
              <w:jc w:val="both"/>
            </w:pPr>
            <w:r w:rsidRPr="00367EB7">
              <w:rPr>
                <w:b/>
                <w:bCs/>
              </w:rPr>
              <w:t>ITEM </w:t>
            </w:r>
          </w:p>
        </w:tc>
        <w:tc>
          <w:tcPr>
            <w:tcW w:w="0" w:type="auto"/>
            <w:tcBorders>
              <w:top w:val="single" w:sz="8" w:space="0" w:color="auto"/>
              <w:left w:val="nil"/>
              <w:bottom w:val="single" w:sz="8" w:space="0" w:color="auto"/>
              <w:right w:val="single" w:sz="8" w:space="0" w:color="auto"/>
            </w:tcBorders>
            <w:shd w:val="clear" w:color="auto" w:fill="943634"/>
            <w:tcMar>
              <w:top w:w="53" w:type="dxa"/>
              <w:left w:w="72" w:type="dxa"/>
              <w:bottom w:w="0" w:type="dxa"/>
              <w:right w:w="19" w:type="dxa"/>
            </w:tcMar>
            <w:vAlign w:val="center"/>
            <w:hideMark/>
          </w:tcPr>
          <w:p w14:paraId="1769B050" w14:textId="77777777" w:rsidR="00367EB7" w:rsidRPr="00367EB7" w:rsidRDefault="00367EB7" w:rsidP="00367EB7">
            <w:pPr>
              <w:jc w:val="both"/>
            </w:pPr>
            <w:r w:rsidRPr="00367EB7">
              <w:rPr>
                <w:b/>
                <w:bCs/>
              </w:rPr>
              <w:t>PONTUAÇÃO</w:t>
            </w:r>
          </w:p>
        </w:tc>
      </w:tr>
      <w:tr w:rsidR="00367EB7" w:rsidRPr="00367EB7" w14:paraId="5A40EFE6" w14:textId="77777777">
        <w:tc>
          <w:tcPr>
            <w:tcW w:w="0" w:type="auto"/>
            <w:tcBorders>
              <w:top w:val="nil"/>
              <w:left w:val="single" w:sz="8" w:space="0" w:color="auto"/>
              <w:bottom w:val="single" w:sz="8" w:space="0" w:color="auto"/>
              <w:right w:val="single" w:sz="8" w:space="0" w:color="auto"/>
            </w:tcBorders>
            <w:tcMar>
              <w:top w:w="53" w:type="dxa"/>
              <w:left w:w="72" w:type="dxa"/>
              <w:bottom w:w="0" w:type="dxa"/>
              <w:right w:w="19" w:type="dxa"/>
            </w:tcMar>
            <w:hideMark/>
          </w:tcPr>
          <w:p w14:paraId="555888FC" w14:textId="77777777" w:rsidR="00367EB7" w:rsidRPr="00367EB7" w:rsidRDefault="00367EB7" w:rsidP="00367EB7">
            <w:pPr>
              <w:jc w:val="both"/>
            </w:pPr>
            <w:r w:rsidRPr="00367EB7">
              <w:rPr>
                <w:b/>
                <w:bCs/>
              </w:rPr>
              <w:t>A</w:t>
            </w:r>
            <w:r w:rsidRPr="00367EB7">
              <w:rPr>
                <w:b/>
                <w:bCs/>
                <w:vertAlign w:val="subscript"/>
              </w:rPr>
              <w:t>1</w:t>
            </w:r>
            <w:r w:rsidRPr="00367EB7">
              <w:rPr>
                <w:b/>
                <w:bCs/>
              </w:rPr>
              <w:t>.</w:t>
            </w:r>
            <w:r w:rsidRPr="00367EB7">
              <w:t> Não. A garantia contratual é complementar à legal (0,20), segundo o Art. 50 do CDC (0,10). </w:t>
            </w:r>
          </w:p>
        </w:tc>
        <w:tc>
          <w:tcPr>
            <w:tcW w:w="0" w:type="auto"/>
            <w:tcBorders>
              <w:top w:val="nil"/>
              <w:left w:val="nil"/>
              <w:bottom w:val="single" w:sz="8" w:space="0" w:color="auto"/>
              <w:right w:val="single" w:sz="8" w:space="0" w:color="auto"/>
            </w:tcBorders>
            <w:tcMar>
              <w:top w:w="53" w:type="dxa"/>
              <w:left w:w="72" w:type="dxa"/>
              <w:bottom w:w="0" w:type="dxa"/>
              <w:right w:w="19" w:type="dxa"/>
            </w:tcMar>
            <w:vAlign w:val="center"/>
            <w:hideMark/>
          </w:tcPr>
          <w:p w14:paraId="408C1CFD" w14:textId="77777777" w:rsidR="00367EB7" w:rsidRPr="00367EB7" w:rsidRDefault="00367EB7" w:rsidP="00367EB7">
            <w:pPr>
              <w:jc w:val="both"/>
            </w:pPr>
            <w:r w:rsidRPr="00367EB7">
              <w:t>0,00/0,20/0,30</w:t>
            </w:r>
          </w:p>
        </w:tc>
      </w:tr>
      <w:tr w:rsidR="00367EB7" w:rsidRPr="00367EB7" w14:paraId="76988AC1" w14:textId="77777777">
        <w:tc>
          <w:tcPr>
            <w:tcW w:w="0" w:type="auto"/>
            <w:tcBorders>
              <w:top w:val="nil"/>
              <w:left w:val="single" w:sz="8" w:space="0" w:color="auto"/>
              <w:bottom w:val="single" w:sz="8" w:space="0" w:color="auto"/>
              <w:right w:val="single" w:sz="8" w:space="0" w:color="auto"/>
            </w:tcBorders>
            <w:tcMar>
              <w:top w:w="53" w:type="dxa"/>
              <w:left w:w="72" w:type="dxa"/>
              <w:bottom w:w="0" w:type="dxa"/>
              <w:right w:w="19" w:type="dxa"/>
            </w:tcMar>
            <w:hideMark/>
          </w:tcPr>
          <w:p w14:paraId="08402A2B" w14:textId="77777777" w:rsidR="00367EB7" w:rsidRPr="00367EB7" w:rsidRDefault="00367EB7" w:rsidP="00367EB7">
            <w:pPr>
              <w:jc w:val="both"/>
            </w:pPr>
            <w:r w:rsidRPr="00367EB7">
              <w:rPr>
                <w:b/>
                <w:bCs/>
              </w:rPr>
              <w:t>A</w:t>
            </w:r>
            <w:r w:rsidRPr="00367EB7">
              <w:rPr>
                <w:b/>
                <w:bCs/>
                <w:vertAlign w:val="subscript"/>
              </w:rPr>
              <w:t>2</w:t>
            </w:r>
            <w:r w:rsidRPr="00367EB7">
              <w:rPr>
                <w:b/>
                <w:bCs/>
              </w:rPr>
              <w:t>.</w:t>
            </w:r>
            <w:r w:rsidRPr="00367EB7">
              <w:t> Permanece a garantia legal de 90 dias para os produtos duráveis (0,20), nos termos do Art. 26, inciso II, do CDC (0,10), </w:t>
            </w:r>
          </w:p>
        </w:tc>
        <w:tc>
          <w:tcPr>
            <w:tcW w:w="0" w:type="auto"/>
            <w:tcBorders>
              <w:top w:val="nil"/>
              <w:left w:val="nil"/>
              <w:bottom w:val="single" w:sz="8" w:space="0" w:color="auto"/>
              <w:right w:val="single" w:sz="8" w:space="0" w:color="auto"/>
            </w:tcBorders>
            <w:tcMar>
              <w:top w:w="53" w:type="dxa"/>
              <w:left w:w="72" w:type="dxa"/>
              <w:bottom w:w="0" w:type="dxa"/>
              <w:right w:w="19" w:type="dxa"/>
            </w:tcMar>
            <w:vAlign w:val="center"/>
            <w:hideMark/>
          </w:tcPr>
          <w:p w14:paraId="209E5E68" w14:textId="77777777" w:rsidR="00367EB7" w:rsidRPr="00367EB7" w:rsidRDefault="00367EB7" w:rsidP="00367EB7">
            <w:pPr>
              <w:jc w:val="both"/>
            </w:pPr>
            <w:r w:rsidRPr="00367EB7">
              <w:t>0,00/0,20/0,30</w:t>
            </w:r>
          </w:p>
        </w:tc>
      </w:tr>
      <w:tr w:rsidR="00367EB7" w:rsidRPr="00367EB7" w14:paraId="43E2D22D" w14:textId="77777777">
        <w:tc>
          <w:tcPr>
            <w:tcW w:w="0" w:type="auto"/>
            <w:tcBorders>
              <w:top w:val="nil"/>
              <w:left w:val="single" w:sz="8" w:space="0" w:color="auto"/>
              <w:bottom w:val="single" w:sz="8" w:space="0" w:color="auto"/>
              <w:right w:val="single" w:sz="8" w:space="0" w:color="auto"/>
            </w:tcBorders>
            <w:tcMar>
              <w:top w:w="53" w:type="dxa"/>
              <w:left w:w="72" w:type="dxa"/>
              <w:bottom w:w="0" w:type="dxa"/>
              <w:right w:w="19" w:type="dxa"/>
            </w:tcMar>
            <w:hideMark/>
          </w:tcPr>
          <w:p w14:paraId="550FF92F" w14:textId="77777777" w:rsidR="00367EB7" w:rsidRPr="00367EB7" w:rsidRDefault="00367EB7" w:rsidP="00367EB7">
            <w:pPr>
              <w:jc w:val="both"/>
            </w:pPr>
            <w:r w:rsidRPr="00367EB7">
              <w:rPr>
                <w:b/>
                <w:bCs/>
              </w:rPr>
              <w:t>A</w:t>
            </w:r>
            <w:r w:rsidRPr="00367EB7">
              <w:rPr>
                <w:b/>
                <w:bCs/>
                <w:vertAlign w:val="subscript"/>
              </w:rPr>
              <w:t>3.</w:t>
            </w:r>
            <w:r w:rsidRPr="00367EB7">
              <w:rPr>
                <w:vertAlign w:val="subscript"/>
              </w:rPr>
              <w:t> </w:t>
            </w:r>
            <w:r w:rsidRPr="00367EB7">
              <w:t>O prazo conta-se a partir da descoberta do vício oculto (0,20), como prevê o Art. 26, § 3º, do CDC (0,10).</w:t>
            </w:r>
          </w:p>
        </w:tc>
        <w:tc>
          <w:tcPr>
            <w:tcW w:w="0" w:type="auto"/>
            <w:tcBorders>
              <w:top w:val="nil"/>
              <w:left w:val="nil"/>
              <w:bottom w:val="single" w:sz="8" w:space="0" w:color="auto"/>
              <w:right w:val="single" w:sz="8" w:space="0" w:color="auto"/>
            </w:tcBorders>
            <w:tcMar>
              <w:top w:w="53" w:type="dxa"/>
              <w:left w:w="72" w:type="dxa"/>
              <w:bottom w:w="0" w:type="dxa"/>
              <w:right w:w="19" w:type="dxa"/>
            </w:tcMar>
            <w:vAlign w:val="center"/>
            <w:hideMark/>
          </w:tcPr>
          <w:p w14:paraId="60D76FA4" w14:textId="77777777" w:rsidR="00367EB7" w:rsidRPr="00367EB7" w:rsidRDefault="00367EB7" w:rsidP="00367EB7">
            <w:pPr>
              <w:jc w:val="both"/>
            </w:pPr>
            <w:r w:rsidRPr="00367EB7">
              <w:t>0,00/0,20/0,30</w:t>
            </w:r>
          </w:p>
        </w:tc>
      </w:tr>
      <w:tr w:rsidR="00367EB7" w:rsidRPr="00367EB7" w14:paraId="79C5D5E4" w14:textId="77777777">
        <w:tc>
          <w:tcPr>
            <w:tcW w:w="0" w:type="auto"/>
            <w:tcBorders>
              <w:top w:val="nil"/>
              <w:left w:val="single" w:sz="8" w:space="0" w:color="auto"/>
              <w:bottom w:val="single" w:sz="8" w:space="0" w:color="auto"/>
              <w:right w:val="single" w:sz="8" w:space="0" w:color="auto"/>
            </w:tcBorders>
            <w:tcMar>
              <w:top w:w="53" w:type="dxa"/>
              <w:left w:w="72" w:type="dxa"/>
              <w:bottom w:w="0" w:type="dxa"/>
              <w:right w:w="19" w:type="dxa"/>
            </w:tcMar>
            <w:hideMark/>
          </w:tcPr>
          <w:p w14:paraId="6FA5DBE4" w14:textId="77777777" w:rsidR="00367EB7" w:rsidRPr="00367EB7" w:rsidRDefault="00367EB7" w:rsidP="00367EB7">
            <w:pPr>
              <w:jc w:val="both"/>
            </w:pPr>
            <w:r w:rsidRPr="00367EB7">
              <w:rPr>
                <w:b/>
                <w:bCs/>
              </w:rPr>
              <w:t>B. </w:t>
            </w:r>
            <w:r w:rsidRPr="00367EB7">
              <w:t>O efeito processual produzido para os casos de contestação genérica corresponde, em regra, à presunção de veracidade das alegações de fato do autor </w:t>
            </w:r>
            <w:r w:rsidRPr="00367EB7">
              <w:rPr>
                <w:b/>
                <w:bCs/>
              </w:rPr>
              <w:t>OU </w:t>
            </w:r>
            <w:r w:rsidRPr="00367EB7">
              <w:t>a tornar incontroversas as alegações de fato do autor (0,25), conforme o Art. 341 do CPC/15 (0,10).</w:t>
            </w:r>
          </w:p>
        </w:tc>
        <w:tc>
          <w:tcPr>
            <w:tcW w:w="0" w:type="auto"/>
            <w:tcBorders>
              <w:top w:val="nil"/>
              <w:left w:val="nil"/>
              <w:bottom w:val="single" w:sz="8" w:space="0" w:color="auto"/>
              <w:right w:val="single" w:sz="8" w:space="0" w:color="auto"/>
            </w:tcBorders>
            <w:tcMar>
              <w:top w:w="53" w:type="dxa"/>
              <w:left w:w="72" w:type="dxa"/>
              <w:bottom w:w="0" w:type="dxa"/>
              <w:right w:w="19" w:type="dxa"/>
            </w:tcMar>
            <w:vAlign w:val="center"/>
            <w:hideMark/>
          </w:tcPr>
          <w:p w14:paraId="48F1A7F9" w14:textId="77777777" w:rsidR="00367EB7" w:rsidRPr="00367EB7" w:rsidRDefault="00367EB7" w:rsidP="00367EB7">
            <w:pPr>
              <w:jc w:val="both"/>
            </w:pPr>
            <w:r w:rsidRPr="00367EB7">
              <w:t>0,00/0,25/0,35</w:t>
            </w:r>
          </w:p>
        </w:tc>
      </w:tr>
    </w:tbl>
    <w:p w14:paraId="35AB953F" w14:textId="77777777" w:rsidR="00367EB7" w:rsidRPr="00367EB7" w:rsidRDefault="00367EB7" w:rsidP="00367EB7">
      <w:pPr>
        <w:jc w:val="both"/>
      </w:pPr>
      <w:r w:rsidRPr="00367EB7">
        <w:rPr>
          <w:b/>
          <w:bCs/>
        </w:rPr>
        <w:t> </w:t>
      </w:r>
    </w:p>
    <w:sectPr w:rsidR="00367EB7" w:rsidRPr="00367EB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C41FB"/>
    <w:multiLevelType w:val="hybridMultilevel"/>
    <w:tmpl w:val="EC46D86E"/>
    <w:lvl w:ilvl="0" w:tplc="3DF2C772">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420324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B94"/>
    <w:rsid w:val="00006F2F"/>
    <w:rsid w:val="00047A80"/>
    <w:rsid w:val="00061869"/>
    <w:rsid w:val="0007690F"/>
    <w:rsid w:val="001363FB"/>
    <w:rsid w:val="00140B58"/>
    <w:rsid w:val="00260761"/>
    <w:rsid w:val="002D31AC"/>
    <w:rsid w:val="00313790"/>
    <w:rsid w:val="00342B94"/>
    <w:rsid w:val="00367EB7"/>
    <w:rsid w:val="00376024"/>
    <w:rsid w:val="003E625A"/>
    <w:rsid w:val="004044DB"/>
    <w:rsid w:val="00434F1C"/>
    <w:rsid w:val="00461399"/>
    <w:rsid w:val="004C0027"/>
    <w:rsid w:val="004E7566"/>
    <w:rsid w:val="00512656"/>
    <w:rsid w:val="005F08EA"/>
    <w:rsid w:val="006365E5"/>
    <w:rsid w:val="0066022B"/>
    <w:rsid w:val="00747601"/>
    <w:rsid w:val="007D658B"/>
    <w:rsid w:val="00816E88"/>
    <w:rsid w:val="00850945"/>
    <w:rsid w:val="00865FB5"/>
    <w:rsid w:val="00882ACC"/>
    <w:rsid w:val="008C14D8"/>
    <w:rsid w:val="00944165"/>
    <w:rsid w:val="00977544"/>
    <w:rsid w:val="009A4023"/>
    <w:rsid w:val="009C0DD1"/>
    <w:rsid w:val="00A1068D"/>
    <w:rsid w:val="00A26923"/>
    <w:rsid w:val="00A87449"/>
    <w:rsid w:val="00A91086"/>
    <w:rsid w:val="00A94AD9"/>
    <w:rsid w:val="00AA107C"/>
    <w:rsid w:val="00AB69D4"/>
    <w:rsid w:val="00AB7B83"/>
    <w:rsid w:val="00AC1CBB"/>
    <w:rsid w:val="00AD6D71"/>
    <w:rsid w:val="00B60392"/>
    <w:rsid w:val="00B62DAC"/>
    <w:rsid w:val="00B75F9D"/>
    <w:rsid w:val="00B95D52"/>
    <w:rsid w:val="00B96E06"/>
    <w:rsid w:val="00BC7305"/>
    <w:rsid w:val="00C00D41"/>
    <w:rsid w:val="00C309A8"/>
    <w:rsid w:val="00C454E7"/>
    <w:rsid w:val="00C71470"/>
    <w:rsid w:val="00CF26C8"/>
    <w:rsid w:val="00D1560A"/>
    <w:rsid w:val="00D57786"/>
    <w:rsid w:val="00D744BA"/>
    <w:rsid w:val="00D7454A"/>
    <w:rsid w:val="00E15DC5"/>
    <w:rsid w:val="00E81272"/>
    <w:rsid w:val="00F933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D9F6E"/>
  <w15:chartTrackingRefBased/>
  <w15:docId w15:val="{BDC50838-FE6F-443A-ADEC-9AA350815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023"/>
  </w:style>
  <w:style w:type="paragraph" w:styleId="Ttulo1">
    <w:name w:val="heading 1"/>
    <w:basedOn w:val="Normal"/>
    <w:next w:val="Normal"/>
    <w:link w:val="Ttulo1Char"/>
    <w:uiPriority w:val="9"/>
    <w:qFormat/>
    <w:rsid w:val="00342B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342B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unhideWhenUsed/>
    <w:qFormat/>
    <w:rsid w:val="00342B9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342B9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342B9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342B9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342B9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342B9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342B94"/>
    <w:pPr>
      <w:keepNext/>
      <w:keepLines/>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42B94"/>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342B94"/>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rsid w:val="00342B94"/>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342B94"/>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342B94"/>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342B9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42B9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42B9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42B94"/>
    <w:rPr>
      <w:rFonts w:eastAsiaTheme="majorEastAsia" w:cstheme="majorBidi"/>
      <w:color w:val="272727" w:themeColor="text1" w:themeTint="D8"/>
    </w:rPr>
  </w:style>
  <w:style w:type="paragraph" w:styleId="Ttulo">
    <w:name w:val="Title"/>
    <w:basedOn w:val="Normal"/>
    <w:next w:val="Normal"/>
    <w:link w:val="TtuloChar"/>
    <w:uiPriority w:val="10"/>
    <w:qFormat/>
    <w:rsid w:val="00342B94"/>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342B9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342B94"/>
    <w:pPr>
      <w:numPr>
        <w:ilvl w:val="1"/>
      </w:numPr>
      <w:spacing w:after="160"/>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342B9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342B94"/>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342B94"/>
    <w:rPr>
      <w:i/>
      <w:iCs/>
      <w:color w:val="404040" w:themeColor="text1" w:themeTint="BF"/>
    </w:rPr>
  </w:style>
  <w:style w:type="paragraph" w:styleId="PargrafodaLista">
    <w:name w:val="List Paragraph"/>
    <w:basedOn w:val="Normal"/>
    <w:uiPriority w:val="34"/>
    <w:qFormat/>
    <w:rsid w:val="00342B94"/>
    <w:pPr>
      <w:ind w:left="720"/>
      <w:contextualSpacing/>
    </w:pPr>
  </w:style>
  <w:style w:type="character" w:styleId="nfaseIntensa">
    <w:name w:val="Intense Emphasis"/>
    <w:basedOn w:val="Fontepargpadro"/>
    <w:uiPriority w:val="21"/>
    <w:qFormat/>
    <w:rsid w:val="00342B94"/>
    <w:rPr>
      <w:i/>
      <w:iCs/>
      <w:color w:val="0F4761" w:themeColor="accent1" w:themeShade="BF"/>
    </w:rPr>
  </w:style>
  <w:style w:type="paragraph" w:styleId="CitaoIntensa">
    <w:name w:val="Intense Quote"/>
    <w:basedOn w:val="Normal"/>
    <w:next w:val="Normal"/>
    <w:link w:val="CitaoIntensaChar"/>
    <w:uiPriority w:val="30"/>
    <w:qFormat/>
    <w:rsid w:val="00342B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342B94"/>
    <w:rPr>
      <w:i/>
      <w:iCs/>
      <w:color w:val="0F4761" w:themeColor="accent1" w:themeShade="BF"/>
    </w:rPr>
  </w:style>
  <w:style w:type="character" w:styleId="RefernciaIntensa">
    <w:name w:val="Intense Reference"/>
    <w:basedOn w:val="Fontepargpadro"/>
    <w:uiPriority w:val="32"/>
    <w:qFormat/>
    <w:rsid w:val="00342B9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2323</Words>
  <Characters>12548</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Augusto Lopes</dc:creator>
  <cp:keywords/>
  <dc:description/>
  <cp:lastModifiedBy>Julio Augusto Lopes</cp:lastModifiedBy>
  <cp:revision>4</cp:revision>
  <dcterms:created xsi:type="dcterms:W3CDTF">2026-08-25T00:50:00Z</dcterms:created>
  <dcterms:modified xsi:type="dcterms:W3CDTF">2026-08-26T00:09:00Z</dcterms:modified>
</cp:coreProperties>
</file>