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6C33" w14:textId="57C65995" w:rsidR="00977544" w:rsidRDefault="004E7566" w:rsidP="00977544">
      <w:pPr>
        <w:jc w:val="both"/>
        <w:rPr>
          <w:b/>
          <w:bCs/>
        </w:rPr>
      </w:pPr>
      <w:r>
        <w:rPr>
          <w:b/>
          <w:bCs/>
        </w:rPr>
        <w:t>XXXVII</w:t>
      </w:r>
      <w:r w:rsidR="004C04EB">
        <w:rPr>
          <w:b/>
          <w:bCs/>
        </w:rPr>
        <w:t>I</w:t>
      </w:r>
    </w:p>
    <w:p w14:paraId="6244604A" w14:textId="77777777" w:rsidR="00B675F3" w:rsidRDefault="004C04EB" w:rsidP="004C04EB">
      <w:pPr>
        <w:jc w:val="both"/>
      </w:pPr>
      <w:r>
        <w:t>Aurora Rosa, jornalista, domiciliada em São Paulo, é casada com Solano e costumam compartilhar entre eles, conteúdos diversos por meio de plataformas digitais, inclusive fotos e vídeos íntimos, que ficavam armazenados em seus dispositivos.</w:t>
      </w:r>
      <w:r w:rsidR="00B675F3">
        <w:t xml:space="preserve"> </w:t>
      </w:r>
      <w:r>
        <w:t>Devido ao furto do seu celular, registrado em boletim de ocorrência, Aurora entrou em contato com a operadora do serviço móvel, dois dias depois ao ocorrido, para solicitar o bloqueio do seu aparelho, o que foi imediatamente atendido.</w:t>
      </w:r>
      <w:r w:rsidR="00B675F3">
        <w:t xml:space="preserve"> </w:t>
      </w:r>
      <w:r>
        <w:t>Apesar da sua rotina ter sido alterada pela perda do celular, o que a fazia sentir-se insegura com a possível utilização do material íntimo nele contido, Aurora imaginava que o problema estava resolvido. Para sua tristeza, foi surpreendida com mensagens enviadas por seus amigos, informando que seus vídeos e fotos estavam disponíveis em sites eróticos, localizados a partir de simples pesquisa por meio da Web Busca, cujo serviço é fornecido pela empresa Web Brasil Internet Ltda., situada em São Paulo.</w:t>
      </w:r>
      <w:r w:rsidR="00B675F3">
        <w:t xml:space="preserve"> </w:t>
      </w:r>
      <w:r>
        <w:t>Diante disso, Aurora notificou judicialmente a Web Brasil, explicando detalhadamente o que ocorreu, identificando o material, fornecendo o localizador URL das páginas e solicitando a indisponibilização do conteúdo infringente pelo provedor. No entanto, apesar da notificação realizada por Aurora, nenhuma providência havia sido tomada pelo provedor para a retirada do conteúdo ilícito.</w:t>
      </w:r>
      <w:r w:rsidR="00B675F3">
        <w:t xml:space="preserve"> </w:t>
      </w:r>
      <w:r>
        <w:t>Registre-se, ainda, que a recusa injustificada do provedor em atender a notificação judicial e promover a remoção do conteúdo ilícito, causou prejuízos materiais à Aurora que teve um contrato de assessoria de imprensa no valor de R$ 85.000,00 cancelado e, diante da rapidez com que as informações circulam no ambiente digital, teme que esta situação possa afetar ainda mais a sua atividade profissional.</w:t>
      </w:r>
      <w:r w:rsidR="00B675F3">
        <w:t xml:space="preserve"> </w:t>
      </w:r>
      <w:r>
        <w:t>Em virtude da medida judicial já adotada, Aurora não demonstra interesse em participar de qualquer outra tentativa conciliatória.</w:t>
      </w:r>
      <w:r w:rsidR="00B675F3">
        <w:t xml:space="preserve"> </w:t>
      </w:r>
      <w:r>
        <w:t>Inconformada, Aurora procura você, na qualidade de advogado(a), para propor a medida judicial adequada para a defesa dos seus interesses.</w:t>
      </w:r>
      <w:r w:rsidR="00B675F3">
        <w:t xml:space="preserve"> </w:t>
      </w:r>
      <w:r>
        <w:t>Redija a peça processual adequada para a remoção do conteúdo prejudicial à imagem de sua cliente, abordando todos os aspectos de direito material e processual pertinentes. (Valor: 5,00)</w:t>
      </w:r>
      <w:r w:rsidR="00B675F3">
        <w:t xml:space="preserve"> </w:t>
      </w:r>
    </w:p>
    <w:p w14:paraId="47AA6599" w14:textId="77777777" w:rsidR="00B675F3" w:rsidRDefault="00B675F3" w:rsidP="004C04EB">
      <w:pPr>
        <w:jc w:val="both"/>
      </w:pPr>
    </w:p>
    <w:p w14:paraId="798CFAF3" w14:textId="082DF54E" w:rsidR="004C04EB" w:rsidRDefault="00B675F3" w:rsidP="004C04EB">
      <w:pPr>
        <w:jc w:val="both"/>
      </w:pPr>
      <w:r>
        <w:t xml:space="preserve">GABARITO: </w:t>
      </w:r>
      <w:r>
        <w:t xml:space="preserve"> </w:t>
      </w:r>
      <w:r w:rsidR="004C04EB">
        <w:t>A peça processual a ser proposta é uma petição inicial de ação de indenização por danos materiais e obrigação de fazer, com pedido de tutela antecipada para a remoção de conteúdo virtual, direcionada ao juízo de uma das varas cíveis da comarca de São Paulo.</w:t>
      </w:r>
      <w:r>
        <w:t xml:space="preserve"> </w:t>
      </w:r>
      <w:r w:rsidR="004C04EB">
        <w:t>Deve ser destacada a aplicação da Lei nº 12.965/14, pois se trata de conteúdo gerado na internet. Indicar no polo passivo o provedor de aplicações da internet, a Web Brasil Ltda., que responde subsidiariamente pela disponibilização de conteúdo gerado por terceiro, violando a intimidade decorrente da divulgação, sem autorização dos seus participantes, de imagens, vídeos ou outros materiais contendo cenas de nudez ou atos sexuais de caráter privado quando, após o recebimento de notificação pelo participante, deixa de promover a indisponibilização desse conteúdo, conforme o Art. 21, caput, da Lei nº 12.965/14.</w:t>
      </w:r>
      <w:r>
        <w:t xml:space="preserve"> </w:t>
      </w:r>
      <w:r w:rsidR="004C04EB">
        <w:t>A responsabilidade subsidiária do provedor de aplicações da internet por conteúdo gerado por terceiro exige, neste caso, que tenha existido apenas o pedido do ofendido para a exclusão do conteúdo e neste caso, fica caraterizada pela omissão na retirada do conteúdo ilícito mesmo após a notificação judicial feita pela autora.</w:t>
      </w:r>
      <w:r>
        <w:t xml:space="preserve"> </w:t>
      </w:r>
      <w:r w:rsidR="004C04EB">
        <w:t>A recusa injustificada da remoção do conteúdo após a notificação judicial causou prejuízos a Aurora, gerando o dever de indenizar.</w:t>
      </w:r>
      <w:r>
        <w:t xml:space="preserve"> </w:t>
      </w:r>
      <w:r w:rsidR="004C04EB">
        <w:t xml:space="preserve">Diante da urgência </w:t>
      </w:r>
      <w:r w:rsidR="004C04EB">
        <w:lastRenderedPageBreak/>
        <w:t>da providência, deve ser requerida tutela de urgência antecipada na forma do Art. 300 do CPC ou Art. 19, § 4º, da Lei nº 12.965/14, demonstrando seus requisitos.</w:t>
      </w:r>
      <w:r>
        <w:t xml:space="preserve"> </w:t>
      </w:r>
      <w:r w:rsidR="004C04EB">
        <w:t>Por fim, o examinando deve redigir o fechamento.</w:t>
      </w:r>
    </w:p>
    <w:p w14:paraId="2AECDCBA" w14:textId="77777777" w:rsidR="004C04EB" w:rsidRPr="004C04EB" w:rsidRDefault="004C04EB" w:rsidP="004C04EB">
      <w:pPr>
        <w:jc w:val="both"/>
        <w:rPr>
          <w:b/>
          <w:bCs/>
        </w:rPr>
      </w:pPr>
      <w:r w:rsidRPr="004C04EB">
        <w:rPr>
          <w:b/>
          <w:bCs/>
        </w:rPr>
        <w:br/>
        <w:t>Distribuição dos Pontos</w:t>
      </w:r>
    </w:p>
    <w:tbl>
      <w:tblPr>
        <w:tblW w:w="0" w:type="auto"/>
        <w:tblCellMar>
          <w:left w:w="0" w:type="dxa"/>
          <w:right w:w="0" w:type="dxa"/>
        </w:tblCellMar>
        <w:tblLook w:val="04A0" w:firstRow="1" w:lastRow="0" w:firstColumn="1" w:lastColumn="0" w:noHBand="0" w:noVBand="1"/>
      </w:tblPr>
      <w:tblGrid>
        <w:gridCol w:w="6257"/>
        <w:gridCol w:w="2227"/>
      </w:tblGrid>
      <w:tr w:rsidR="004C04EB" w:rsidRPr="004C04EB" w14:paraId="7C6A785D" w14:textId="77777777">
        <w:tc>
          <w:tcPr>
            <w:tcW w:w="0" w:type="auto"/>
            <w:tcBorders>
              <w:top w:val="single" w:sz="8" w:space="0" w:color="9A3300"/>
              <w:left w:val="single" w:sz="8" w:space="0" w:color="9A3300"/>
              <w:bottom w:val="single" w:sz="8" w:space="0" w:color="9A3300"/>
              <w:right w:val="single" w:sz="8" w:space="0" w:color="9A3300"/>
            </w:tcBorders>
            <w:shd w:val="clear" w:color="auto" w:fill="9A3300"/>
            <w:tcMar>
              <w:top w:w="50" w:type="dxa"/>
              <w:left w:w="68" w:type="dxa"/>
              <w:bottom w:w="0" w:type="dxa"/>
              <w:right w:w="20" w:type="dxa"/>
            </w:tcMar>
            <w:hideMark/>
          </w:tcPr>
          <w:p w14:paraId="5BDC9021" w14:textId="77777777" w:rsidR="004C04EB" w:rsidRPr="004C04EB" w:rsidRDefault="004C04EB" w:rsidP="004C04EB">
            <w:pPr>
              <w:jc w:val="both"/>
            </w:pPr>
            <w:r w:rsidRPr="004C04EB">
              <w:rPr>
                <w:b/>
                <w:bCs/>
              </w:rPr>
              <w:t>ITEM</w:t>
            </w:r>
          </w:p>
        </w:tc>
        <w:tc>
          <w:tcPr>
            <w:tcW w:w="0" w:type="auto"/>
            <w:tcBorders>
              <w:top w:val="single" w:sz="8" w:space="0" w:color="auto"/>
              <w:left w:val="nil"/>
              <w:bottom w:val="single" w:sz="8" w:space="0" w:color="auto"/>
              <w:right w:val="single" w:sz="8" w:space="0" w:color="auto"/>
            </w:tcBorders>
            <w:shd w:val="clear" w:color="auto" w:fill="9A3300"/>
            <w:tcMar>
              <w:top w:w="50" w:type="dxa"/>
              <w:left w:w="68" w:type="dxa"/>
              <w:bottom w:w="0" w:type="dxa"/>
              <w:right w:w="20" w:type="dxa"/>
            </w:tcMar>
            <w:hideMark/>
          </w:tcPr>
          <w:p w14:paraId="3792238C" w14:textId="77777777" w:rsidR="004C04EB" w:rsidRPr="004C04EB" w:rsidRDefault="004C04EB" w:rsidP="004C04EB">
            <w:pPr>
              <w:jc w:val="both"/>
            </w:pPr>
            <w:r w:rsidRPr="004C04EB">
              <w:rPr>
                <w:b/>
                <w:bCs/>
              </w:rPr>
              <w:t>PONTUAÇÃO</w:t>
            </w:r>
          </w:p>
        </w:tc>
      </w:tr>
      <w:tr w:rsidR="004C04EB" w:rsidRPr="004C04EB" w14:paraId="3705F9C9"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1B988511" w14:textId="77777777" w:rsidR="004C04EB" w:rsidRPr="004C04EB" w:rsidRDefault="004C04EB" w:rsidP="004C04EB">
            <w:pPr>
              <w:jc w:val="both"/>
            </w:pPr>
            <w:r w:rsidRPr="004C04EB">
              <w:rPr>
                <w:b/>
                <w:bCs/>
              </w:rPr>
              <w:t>Endereçamento</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4535ABA0" w14:textId="77777777" w:rsidR="004C04EB" w:rsidRPr="004C04EB" w:rsidRDefault="004C04EB" w:rsidP="004C04EB">
            <w:pPr>
              <w:jc w:val="both"/>
            </w:pPr>
            <w:r w:rsidRPr="004C04EB">
              <w:t> </w:t>
            </w:r>
          </w:p>
        </w:tc>
      </w:tr>
      <w:tr w:rsidR="004C04EB" w:rsidRPr="004C04EB" w14:paraId="10D174E1"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7B4C53A1" w14:textId="77777777" w:rsidR="004C04EB" w:rsidRPr="004C04EB" w:rsidRDefault="004C04EB" w:rsidP="004C04EB">
            <w:pPr>
              <w:jc w:val="both"/>
            </w:pPr>
            <w:r w:rsidRPr="004C04EB">
              <w:t>1. A peça processual deve ser direcionada ao Juízo da __Vara Cível da Comarca de São Paulo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3A314FDC" w14:textId="77777777" w:rsidR="004C04EB" w:rsidRPr="004C04EB" w:rsidRDefault="004C04EB" w:rsidP="004C04EB">
            <w:pPr>
              <w:jc w:val="both"/>
            </w:pPr>
            <w:r w:rsidRPr="004C04EB">
              <w:t>0,00/0,10</w:t>
            </w:r>
          </w:p>
        </w:tc>
      </w:tr>
      <w:tr w:rsidR="004C04EB" w:rsidRPr="004C04EB" w14:paraId="2F83C06C"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4E7D99EE" w14:textId="77777777" w:rsidR="004C04EB" w:rsidRPr="004C04EB" w:rsidRDefault="004C04EB" w:rsidP="004C04EB">
            <w:pPr>
              <w:jc w:val="both"/>
            </w:pPr>
            <w:r w:rsidRPr="004C04EB">
              <w:t>2.</w:t>
            </w:r>
            <w:r w:rsidRPr="004C04EB">
              <w:rPr>
                <w:b/>
                <w:bCs/>
              </w:rPr>
              <w:t> </w:t>
            </w:r>
            <w:r w:rsidRPr="004C04EB">
              <w:t>Autor:</w:t>
            </w:r>
            <w:r w:rsidRPr="004C04EB">
              <w:rPr>
                <w:b/>
                <w:bCs/>
              </w:rPr>
              <w:t> </w:t>
            </w:r>
            <w:r w:rsidRPr="004C04EB">
              <w:t>Aurora Rosa</w:t>
            </w:r>
            <w:r w:rsidRPr="004C04EB">
              <w:rPr>
                <w:b/>
                <w:bCs/>
              </w:rPr>
              <w:t>, </w:t>
            </w:r>
            <w:r w:rsidRPr="004C04EB">
              <w:t>jornalista,</w:t>
            </w:r>
            <w:r w:rsidRPr="004C04EB">
              <w:rPr>
                <w:b/>
                <w:bCs/>
              </w:rPr>
              <w:t> </w:t>
            </w:r>
            <w:r w:rsidRPr="004C04EB">
              <w:t>(qualificação)</w:t>
            </w:r>
            <w:r w:rsidRPr="004C04EB">
              <w:rPr>
                <w:b/>
                <w:bCs/>
              </w:rPr>
              <w:t> </w:t>
            </w:r>
            <w:r w:rsidRPr="004C04EB">
              <w:t>(0,10);</w:t>
            </w:r>
            <w:r w:rsidRPr="004C04EB">
              <w:rPr>
                <w:b/>
                <w:bCs/>
              </w:rPr>
              <w:t> </w:t>
            </w:r>
            <w:r w:rsidRPr="004C04EB">
              <w:t>réu:</w:t>
            </w:r>
            <w:r w:rsidRPr="004C04EB">
              <w:rPr>
                <w:b/>
                <w:bCs/>
              </w:rPr>
              <w:t> </w:t>
            </w:r>
            <w:r w:rsidRPr="004C04EB">
              <w:rPr>
                <w:i/>
                <w:iCs/>
              </w:rPr>
              <w:t>Web Brasil Internet Ltda</w:t>
            </w:r>
            <w:r w:rsidRPr="004C04EB">
              <w:t>. (qualificação)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43871029" w14:textId="77777777" w:rsidR="004C04EB" w:rsidRPr="004C04EB" w:rsidRDefault="004C04EB" w:rsidP="004C04EB">
            <w:pPr>
              <w:jc w:val="both"/>
            </w:pPr>
            <w:r w:rsidRPr="004C04EB">
              <w:t>0,00/0,10/0,20</w:t>
            </w:r>
          </w:p>
        </w:tc>
      </w:tr>
      <w:tr w:rsidR="004C04EB" w:rsidRPr="004C04EB" w14:paraId="7C474EB1"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6C79CCAB" w14:textId="77777777" w:rsidR="004C04EB" w:rsidRPr="004C04EB" w:rsidRDefault="004C04EB" w:rsidP="004C04EB">
            <w:pPr>
              <w:jc w:val="both"/>
            </w:pPr>
            <w:r w:rsidRPr="004C04EB">
              <w:rPr>
                <w:b/>
                <w:bCs/>
              </w:rPr>
              <w:t>Fatos</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17ADA95F" w14:textId="77777777" w:rsidR="004C04EB" w:rsidRPr="004C04EB" w:rsidRDefault="004C04EB" w:rsidP="004C04EB">
            <w:pPr>
              <w:jc w:val="both"/>
            </w:pPr>
            <w:r w:rsidRPr="004C04EB">
              <w:t> </w:t>
            </w:r>
          </w:p>
        </w:tc>
      </w:tr>
      <w:tr w:rsidR="004C04EB" w:rsidRPr="004C04EB" w14:paraId="5179FB40"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56A2CA72" w14:textId="77777777" w:rsidR="004C04EB" w:rsidRPr="004C04EB" w:rsidRDefault="004C04EB" w:rsidP="004C04EB">
            <w:pPr>
              <w:jc w:val="both"/>
            </w:pPr>
            <w:r w:rsidRPr="004C04EB">
              <w:t>3. Exposição dos fatos (0,10).</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3E3D51DA" w14:textId="77777777" w:rsidR="004C04EB" w:rsidRPr="004C04EB" w:rsidRDefault="004C04EB" w:rsidP="004C04EB">
            <w:pPr>
              <w:jc w:val="both"/>
            </w:pPr>
            <w:r w:rsidRPr="004C04EB">
              <w:t>0,00/0,10</w:t>
            </w:r>
          </w:p>
        </w:tc>
      </w:tr>
      <w:tr w:rsidR="004C04EB" w:rsidRPr="004C04EB" w14:paraId="31BB86B8"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4FA8A509" w14:textId="77777777" w:rsidR="004C04EB" w:rsidRPr="004C04EB" w:rsidRDefault="004C04EB" w:rsidP="004C04EB">
            <w:pPr>
              <w:jc w:val="both"/>
            </w:pPr>
            <w:r w:rsidRPr="004C04EB">
              <w:rPr>
                <w:b/>
                <w:bCs/>
              </w:rPr>
              <w:t>Fundamentos Jurídicos</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13D01B7F" w14:textId="77777777" w:rsidR="004C04EB" w:rsidRPr="004C04EB" w:rsidRDefault="004C04EB" w:rsidP="004C04EB">
            <w:pPr>
              <w:jc w:val="both"/>
            </w:pPr>
            <w:r w:rsidRPr="004C04EB">
              <w:t> </w:t>
            </w:r>
          </w:p>
        </w:tc>
      </w:tr>
      <w:tr w:rsidR="004C04EB" w:rsidRPr="004C04EB" w14:paraId="30A9FBC4"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022C0170" w14:textId="77777777" w:rsidR="004C04EB" w:rsidRPr="004C04EB" w:rsidRDefault="004C04EB" w:rsidP="004C04EB">
            <w:pPr>
              <w:jc w:val="both"/>
            </w:pPr>
            <w:r w:rsidRPr="004C04EB">
              <w:t>4. Qualificar a utilização da Lei nº 12.965/14, em virtude da violação da intimidade decorrente da divulgação de imagens e vídeos íntimos na internet sem a autorização de seus participantes (0,40).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6D3FC8D4" w14:textId="77777777" w:rsidR="004C04EB" w:rsidRPr="004C04EB" w:rsidRDefault="004C04EB" w:rsidP="004C04EB">
            <w:pPr>
              <w:jc w:val="both"/>
            </w:pPr>
            <w:r w:rsidRPr="004C04EB">
              <w:t>0,00/0,40</w:t>
            </w:r>
          </w:p>
          <w:p w14:paraId="43084E20" w14:textId="77777777" w:rsidR="004C04EB" w:rsidRPr="004C04EB" w:rsidRDefault="004C04EB" w:rsidP="004C04EB">
            <w:pPr>
              <w:jc w:val="both"/>
            </w:pPr>
            <w:r w:rsidRPr="004C04EB">
              <w:t> </w:t>
            </w:r>
          </w:p>
        </w:tc>
      </w:tr>
      <w:tr w:rsidR="004C04EB" w:rsidRPr="004C04EB" w14:paraId="2C2AD954"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042C5564" w14:textId="77777777" w:rsidR="004C04EB" w:rsidRPr="004C04EB" w:rsidRDefault="004C04EB" w:rsidP="004C04EB">
            <w:pPr>
              <w:jc w:val="both"/>
            </w:pPr>
            <w:r w:rsidRPr="004C04EB">
              <w:t>5. Demonstrar o descumprimento do dever legal de, após o recebimento de notificação judicial, promover a indisponibilização do conteúdo virtual (0,40), na forma do Art. 21, </w:t>
            </w:r>
            <w:r w:rsidRPr="004C04EB">
              <w:rPr>
                <w:i/>
                <w:iCs/>
              </w:rPr>
              <w:t>caput</w:t>
            </w:r>
            <w:r w:rsidRPr="004C04EB">
              <w:t>, da Lei nº 12.965/14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33D47FDF" w14:textId="77777777" w:rsidR="004C04EB" w:rsidRPr="004C04EB" w:rsidRDefault="004C04EB" w:rsidP="004C04EB">
            <w:pPr>
              <w:jc w:val="both"/>
            </w:pPr>
            <w:r w:rsidRPr="004C04EB">
              <w:t>0,00/0,40/0,50</w:t>
            </w:r>
          </w:p>
          <w:p w14:paraId="7A3A5DBB" w14:textId="77777777" w:rsidR="004C04EB" w:rsidRPr="004C04EB" w:rsidRDefault="004C04EB" w:rsidP="004C04EB">
            <w:pPr>
              <w:jc w:val="both"/>
            </w:pPr>
            <w:r w:rsidRPr="004C04EB">
              <w:t> </w:t>
            </w:r>
          </w:p>
        </w:tc>
      </w:tr>
      <w:tr w:rsidR="004C04EB" w:rsidRPr="004C04EB" w14:paraId="2F3D50AA"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02E031E1" w14:textId="77777777" w:rsidR="004C04EB" w:rsidRPr="004C04EB" w:rsidRDefault="004C04EB" w:rsidP="004C04EB">
            <w:pPr>
              <w:jc w:val="both"/>
            </w:pPr>
            <w:r w:rsidRPr="004C04EB">
              <w:t>6. Demonstrar que a autora cumpriu a exigência legal de identificação de forma clara e específica do conteúdo apontado como infringente, a permitir a localização do material (0,40), nos termos do Art. 21, parágrafo único, da Lei nº 12.965/14)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6DE6275A" w14:textId="77777777" w:rsidR="004C04EB" w:rsidRPr="004C04EB" w:rsidRDefault="004C04EB" w:rsidP="004C04EB">
            <w:pPr>
              <w:jc w:val="both"/>
            </w:pPr>
            <w:r w:rsidRPr="004C04EB">
              <w:t> </w:t>
            </w:r>
          </w:p>
          <w:p w14:paraId="3180A4C1" w14:textId="77777777" w:rsidR="004C04EB" w:rsidRPr="004C04EB" w:rsidRDefault="004C04EB" w:rsidP="004C04EB">
            <w:pPr>
              <w:jc w:val="both"/>
            </w:pPr>
            <w:r w:rsidRPr="004C04EB">
              <w:t>0,00/0,40/0,50</w:t>
            </w:r>
          </w:p>
        </w:tc>
      </w:tr>
      <w:tr w:rsidR="004C04EB" w:rsidRPr="004C04EB" w14:paraId="2BCBC439"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5E4C4759" w14:textId="77777777" w:rsidR="004C04EB" w:rsidRPr="004C04EB" w:rsidRDefault="004C04EB" w:rsidP="004C04EB">
            <w:pPr>
              <w:jc w:val="both"/>
            </w:pPr>
            <w:r w:rsidRPr="004C04EB">
              <w:t>7. Identificar que o réu possui responsabilidade subsidiária (0,30).</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2F5A0703" w14:textId="77777777" w:rsidR="004C04EB" w:rsidRPr="004C04EB" w:rsidRDefault="004C04EB" w:rsidP="004C04EB">
            <w:pPr>
              <w:jc w:val="both"/>
            </w:pPr>
            <w:r w:rsidRPr="004C04EB">
              <w:t>0,00/0,30</w:t>
            </w:r>
          </w:p>
        </w:tc>
      </w:tr>
      <w:tr w:rsidR="004C04EB" w:rsidRPr="004C04EB" w14:paraId="2F9DFDEC"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43339925" w14:textId="77777777" w:rsidR="004C04EB" w:rsidRPr="004C04EB" w:rsidRDefault="004C04EB" w:rsidP="004C04EB">
            <w:pPr>
              <w:jc w:val="both"/>
            </w:pPr>
            <w:r w:rsidRPr="004C04EB">
              <w:t>8. A recusa injustificada em retirar o conteúdo ilícito após a notificação judicial gera o dever de indenizar o dano decorrente da divulgação do material privado (0,30), nos termos do Art. 21, </w:t>
            </w:r>
            <w:r w:rsidRPr="004C04EB">
              <w:rPr>
                <w:i/>
                <w:iCs/>
              </w:rPr>
              <w:t>caput,</w:t>
            </w:r>
            <w:r w:rsidRPr="004C04EB">
              <w:t> da Lei nº 12.965/14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2D870380" w14:textId="77777777" w:rsidR="004C04EB" w:rsidRPr="004C04EB" w:rsidRDefault="004C04EB" w:rsidP="004C04EB">
            <w:pPr>
              <w:jc w:val="both"/>
            </w:pPr>
            <w:r w:rsidRPr="004C04EB">
              <w:t>0,00/0,30/0,40</w:t>
            </w:r>
          </w:p>
        </w:tc>
      </w:tr>
      <w:tr w:rsidR="004C04EB" w:rsidRPr="004C04EB" w14:paraId="5130AF4D"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5B2317F5" w14:textId="77777777" w:rsidR="004C04EB" w:rsidRPr="004C04EB" w:rsidRDefault="004C04EB" w:rsidP="004C04EB">
            <w:pPr>
              <w:jc w:val="both"/>
            </w:pPr>
            <w:r w:rsidRPr="004C04EB">
              <w:t>9. Cabimento de tutela de urgência antecipada (0,20), pois presentes a probabilidade do direito (0,15) e o perigo de dano (0,15), segundo o Art. 300, </w:t>
            </w:r>
            <w:r w:rsidRPr="004C04EB">
              <w:rPr>
                <w:i/>
                <w:iCs/>
              </w:rPr>
              <w:t>caput,</w:t>
            </w:r>
            <w:r w:rsidRPr="004C04EB">
              <w:t> do CPC, </w:t>
            </w:r>
            <w:r w:rsidRPr="004C04EB">
              <w:rPr>
                <w:b/>
                <w:bCs/>
                <w:i/>
                <w:iCs/>
                <w:u w:val="single"/>
              </w:rPr>
              <w:t>ou</w:t>
            </w:r>
            <w:r w:rsidRPr="004C04EB">
              <w:t> o Art. 19, § 4º, da Lei nº 12.965/14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6C5AE7F2" w14:textId="77777777" w:rsidR="004C04EB" w:rsidRPr="004C04EB" w:rsidRDefault="004C04EB" w:rsidP="004C04EB">
            <w:pPr>
              <w:jc w:val="both"/>
            </w:pPr>
            <w:r w:rsidRPr="004C04EB">
              <w:t>0,00/0,20/0,30/0,35/</w:t>
            </w:r>
          </w:p>
          <w:p w14:paraId="768115DD" w14:textId="77777777" w:rsidR="004C04EB" w:rsidRPr="004C04EB" w:rsidRDefault="004C04EB" w:rsidP="004C04EB">
            <w:pPr>
              <w:jc w:val="both"/>
            </w:pPr>
            <w:r w:rsidRPr="004C04EB">
              <w:t>0,45/0,50/0,60</w:t>
            </w:r>
          </w:p>
        </w:tc>
      </w:tr>
      <w:tr w:rsidR="004C04EB" w:rsidRPr="004C04EB" w14:paraId="57A45F22"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53C20C17" w14:textId="77777777" w:rsidR="004C04EB" w:rsidRPr="004C04EB" w:rsidRDefault="004C04EB" w:rsidP="004C04EB">
            <w:pPr>
              <w:jc w:val="both"/>
            </w:pPr>
            <w:r w:rsidRPr="004C04EB">
              <w:rPr>
                <w:b/>
                <w:bCs/>
              </w:rPr>
              <w:t> Dos pedidos</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5656B681" w14:textId="77777777" w:rsidR="004C04EB" w:rsidRPr="004C04EB" w:rsidRDefault="004C04EB" w:rsidP="004C04EB">
            <w:pPr>
              <w:jc w:val="both"/>
            </w:pPr>
            <w:r w:rsidRPr="004C04EB">
              <w:t> </w:t>
            </w:r>
          </w:p>
        </w:tc>
      </w:tr>
      <w:tr w:rsidR="004C04EB" w:rsidRPr="004C04EB" w14:paraId="3C006CFF"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57E2873F" w14:textId="77777777" w:rsidR="004C04EB" w:rsidRPr="004C04EB" w:rsidRDefault="004C04EB" w:rsidP="004C04EB">
            <w:pPr>
              <w:jc w:val="both"/>
            </w:pPr>
            <w:r w:rsidRPr="004C04EB">
              <w:t>10. A concessão da tutela de urgência antecipada para a remoção do conteúdo ilícito (0,40).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286B6B4F" w14:textId="77777777" w:rsidR="004C04EB" w:rsidRPr="004C04EB" w:rsidRDefault="004C04EB" w:rsidP="004C04EB">
            <w:pPr>
              <w:jc w:val="both"/>
            </w:pPr>
            <w:r w:rsidRPr="004C04EB">
              <w:t>0,00/0,40</w:t>
            </w:r>
          </w:p>
        </w:tc>
      </w:tr>
      <w:tr w:rsidR="004C04EB" w:rsidRPr="004C04EB" w14:paraId="48A56BD2"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77624E6C" w14:textId="77777777" w:rsidR="004C04EB" w:rsidRPr="004C04EB" w:rsidRDefault="004C04EB" w:rsidP="004C04EB">
            <w:pPr>
              <w:jc w:val="both"/>
            </w:pPr>
            <w:r w:rsidRPr="004C04EB">
              <w:t>11. A procedência do pedido para condenar a ré a remover definitivamente o conteúdo virtual contido nos sites indicados pela autora (0,40).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116772A2" w14:textId="77777777" w:rsidR="004C04EB" w:rsidRPr="004C04EB" w:rsidRDefault="004C04EB" w:rsidP="004C04EB">
            <w:pPr>
              <w:jc w:val="both"/>
            </w:pPr>
            <w:r w:rsidRPr="004C04EB">
              <w:t>0,00/0,40</w:t>
            </w:r>
          </w:p>
        </w:tc>
      </w:tr>
      <w:tr w:rsidR="004C04EB" w:rsidRPr="004C04EB" w14:paraId="62D52584"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0D262F42" w14:textId="77777777" w:rsidR="004C04EB" w:rsidRPr="004C04EB" w:rsidRDefault="004C04EB" w:rsidP="004C04EB">
            <w:pPr>
              <w:jc w:val="both"/>
            </w:pPr>
            <w:r w:rsidRPr="004C04EB">
              <w:lastRenderedPageBreak/>
              <w:t>12. A procedência do pedido para condenar a ré ao pagamento de indenização por danos materiais no valor de R$85.000,00 (0,40).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0CEFB3E6" w14:textId="77777777" w:rsidR="004C04EB" w:rsidRPr="004C04EB" w:rsidRDefault="004C04EB" w:rsidP="004C04EB">
            <w:pPr>
              <w:jc w:val="both"/>
            </w:pPr>
            <w:r w:rsidRPr="004C04EB">
              <w:t>0,00/0,40</w:t>
            </w:r>
          </w:p>
        </w:tc>
      </w:tr>
      <w:tr w:rsidR="004C04EB" w:rsidRPr="004C04EB" w14:paraId="493D23E5"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260D242D" w14:textId="77777777" w:rsidR="004C04EB" w:rsidRPr="004C04EB" w:rsidRDefault="004C04EB" w:rsidP="004C04EB">
            <w:pPr>
              <w:jc w:val="both"/>
            </w:pPr>
            <w:r w:rsidRPr="004C04EB">
              <w:t>13. A condenação do réu ao pagamento dos ônus sucumbenciais (0,20) </w:t>
            </w:r>
            <w:r w:rsidRPr="004C04EB">
              <w:rPr>
                <w:b/>
                <w:bCs/>
                <w:u w:val="single"/>
              </w:rPr>
              <w:t>ou</w:t>
            </w:r>
            <w:r w:rsidRPr="004C04EB">
              <w:t> condenação da ré ao ressarcimento das custas (0,10) e honorários advocatícios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6131A96A" w14:textId="77777777" w:rsidR="004C04EB" w:rsidRPr="004C04EB" w:rsidRDefault="004C04EB" w:rsidP="004C04EB">
            <w:pPr>
              <w:jc w:val="both"/>
            </w:pPr>
            <w:r w:rsidRPr="004C04EB">
              <w:t>0,00/0,10/0,20</w:t>
            </w:r>
          </w:p>
        </w:tc>
      </w:tr>
      <w:tr w:rsidR="004C04EB" w:rsidRPr="004C04EB" w14:paraId="1EEA113C"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4996E09B" w14:textId="77777777" w:rsidR="004C04EB" w:rsidRPr="004C04EB" w:rsidRDefault="004C04EB" w:rsidP="004C04EB">
            <w:pPr>
              <w:jc w:val="both"/>
            </w:pPr>
            <w:r w:rsidRPr="004C04EB">
              <w:t>14. Indicação do desinteresse na realização da audiência de conciliação ou de mediação (0,10), segundo o Art. 319, inciso VII, </w:t>
            </w:r>
            <w:r w:rsidRPr="004C04EB">
              <w:rPr>
                <w:b/>
                <w:bCs/>
                <w:u w:val="single"/>
              </w:rPr>
              <w:t>ou</w:t>
            </w:r>
            <w:r w:rsidRPr="004C04EB">
              <w:t> Art. 334, § 5º, ambos do CPC (0,10).</w:t>
            </w:r>
          </w:p>
        </w:tc>
        <w:tc>
          <w:tcPr>
            <w:tcW w:w="0" w:type="auto"/>
            <w:tcBorders>
              <w:top w:val="nil"/>
              <w:left w:val="nil"/>
              <w:bottom w:val="single" w:sz="8" w:space="0" w:color="auto"/>
              <w:right w:val="single" w:sz="8" w:space="0" w:color="auto"/>
            </w:tcBorders>
            <w:tcMar>
              <w:top w:w="50" w:type="dxa"/>
              <w:left w:w="68" w:type="dxa"/>
              <w:bottom w:w="0" w:type="dxa"/>
              <w:right w:w="20" w:type="dxa"/>
            </w:tcMar>
            <w:vAlign w:val="center"/>
            <w:hideMark/>
          </w:tcPr>
          <w:p w14:paraId="3C338109" w14:textId="77777777" w:rsidR="004C04EB" w:rsidRPr="004C04EB" w:rsidRDefault="004C04EB" w:rsidP="004C04EB">
            <w:pPr>
              <w:jc w:val="both"/>
            </w:pPr>
            <w:r w:rsidRPr="004C04EB">
              <w:t>0,00/0,10/0,20</w:t>
            </w:r>
          </w:p>
        </w:tc>
      </w:tr>
      <w:tr w:rsidR="004C04EB" w:rsidRPr="004C04EB" w14:paraId="15E21F31"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14A3F1E8" w14:textId="77777777" w:rsidR="004C04EB" w:rsidRPr="004C04EB" w:rsidRDefault="004C04EB" w:rsidP="004C04EB">
            <w:pPr>
              <w:jc w:val="both"/>
            </w:pPr>
            <w:r w:rsidRPr="004C04EB">
              <w:rPr>
                <w:b/>
                <w:bCs/>
              </w:rPr>
              <w:t>Das provas</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70841337" w14:textId="77777777" w:rsidR="004C04EB" w:rsidRPr="004C04EB" w:rsidRDefault="004C04EB" w:rsidP="004C04EB">
            <w:pPr>
              <w:jc w:val="both"/>
            </w:pPr>
            <w:r w:rsidRPr="004C04EB">
              <w:t> </w:t>
            </w:r>
          </w:p>
        </w:tc>
      </w:tr>
      <w:tr w:rsidR="004C04EB" w:rsidRPr="004C04EB" w14:paraId="30CF0730"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1ED3582B" w14:textId="77777777" w:rsidR="004C04EB" w:rsidRPr="004C04EB" w:rsidRDefault="004C04EB" w:rsidP="004C04EB">
            <w:pPr>
              <w:jc w:val="both"/>
            </w:pPr>
            <w:r w:rsidRPr="004C04EB">
              <w:t>15. Requerimento de produção de provas (0,10).</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2CEA3A65" w14:textId="77777777" w:rsidR="004C04EB" w:rsidRPr="004C04EB" w:rsidRDefault="004C04EB" w:rsidP="004C04EB">
            <w:pPr>
              <w:jc w:val="both"/>
            </w:pPr>
            <w:r w:rsidRPr="004C04EB">
              <w:t>0,00/0,10</w:t>
            </w:r>
          </w:p>
        </w:tc>
      </w:tr>
      <w:tr w:rsidR="004C04EB" w:rsidRPr="004C04EB" w14:paraId="24741063"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115395C1" w14:textId="77777777" w:rsidR="004C04EB" w:rsidRPr="004C04EB" w:rsidRDefault="004C04EB" w:rsidP="004C04EB">
            <w:pPr>
              <w:jc w:val="both"/>
            </w:pPr>
            <w:r w:rsidRPr="004C04EB">
              <w:rPr>
                <w:b/>
                <w:bCs/>
              </w:rPr>
              <w:t>Fechamento</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4EA4D45F" w14:textId="77777777" w:rsidR="004C04EB" w:rsidRPr="004C04EB" w:rsidRDefault="004C04EB" w:rsidP="004C04EB">
            <w:pPr>
              <w:jc w:val="both"/>
            </w:pPr>
            <w:r w:rsidRPr="004C04EB">
              <w:t> </w:t>
            </w:r>
          </w:p>
        </w:tc>
      </w:tr>
      <w:tr w:rsidR="004C04EB" w:rsidRPr="004C04EB" w14:paraId="7A906463"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13A57192" w14:textId="77777777" w:rsidR="004C04EB" w:rsidRPr="004C04EB" w:rsidRDefault="004C04EB" w:rsidP="004C04EB">
            <w:pPr>
              <w:jc w:val="both"/>
            </w:pPr>
            <w:r w:rsidRPr="004C04EB">
              <w:t>16. Valor da causa: R$85.000,00 (0,10).</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4D02AC14" w14:textId="77777777" w:rsidR="004C04EB" w:rsidRPr="004C04EB" w:rsidRDefault="004C04EB" w:rsidP="004C04EB">
            <w:pPr>
              <w:jc w:val="both"/>
            </w:pPr>
            <w:r w:rsidRPr="004C04EB">
              <w:t>0,00/0,10</w:t>
            </w:r>
          </w:p>
        </w:tc>
      </w:tr>
      <w:tr w:rsidR="004C04EB" w:rsidRPr="004C04EB" w14:paraId="0792A63D" w14:textId="77777777">
        <w:tc>
          <w:tcPr>
            <w:tcW w:w="0" w:type="auto"/>
            <w:tcBorders>
              <w:top w:val="nil"/>
              <w:left w:val="single" w:sz="8" w:space="0" w:color="auto"/>
              <w:bottom w:val="single" w:sz="8" w:space="0" w:color="auto"/>
              <w:right w:val="single" w:sz="8" w:space="0" w:color="auto"/>
            </w:tcBorders>
            <w:tcMar>
              <w:top w:w="50" w:type="dxa"/>
              <w:left w:w="68" w:type="dxa"/>
              <w:bottom w:w="0" w:type="dxa"/>
              <w:right w:w="20" w:type="dxa"/>
            </w:tcMar>
            <w:hideMark/>
          </w:tcPr>
          <w:p w14:paraId="1068241A" w14:textId="77777777" w:rsidR="004C04EB" w:rsidRPr="004C04EB" w:rsidRDefault="004C04EB" w:rsidP="004C04EB">
            <w:pPr>
              <w:jc w:val="both"/>
            </w:pPr>
            <w:r w:rsidRPr="004C04EB">
              <w:t>17. Local..., Data..., Advogado(a)..., OAB nº... (0,10).</w:t>
            </w:r>
          </w:p>
        </w:tc>
        <w:tc>
          <w:tcPr>
            <w:tcW w:w="0" w:type="auto"/>
            <w:tcBorders>
              <w:top w:val="nil"/>
              <w:left w:val="nil"/>
              <w:bottom w:val="single" w:sz="8" w:space="0" w:color="auto"/>
              <w:right w:val="single" w:sz="8" w:space="0" w:color="auto"/>
            </w:tcBorders>
            <w:tcMar>
              <w:top w:w="50" w:type="dxa"/>
              <w:left w:w="68" w:type="dxa"/>
              <w:bottom w:w="0" w:type="dxa"/>
              <w:right w:w="20" w:type="dxa"/>
            </w:tcMar>
            <w:hideMark/>
          </w:tcPr>
          <w:p w14:paraId="063DAFEC" w14:textId="77777777" w:rsidR="004C04EB" w:rsidRPr="004C04EB" w:rsidRDefault="004C04EB" w:rsidP="004C04EB">
            <w:pPr>
              <w:jc w:val="both"/>
            </w:pPr>
            <w:r w:rsidRPr="004C04EB">
              <w:t>0,00/0,10</w:t>
            </w:r>
          </w:p>
        </w:tc>
      </w:tr>
    </w:tbl>
    <w:p w14:paraId="66F58778" w14:textId="77777777" w:rsidR="004C04EB" w:rsidRDefault="004C04EB" w:rsidP="004C04EB">
      <w:pPr>
        <w:jc w:val="both"/>
      </w:pPr>
    </w:p>
    <w:p w14:paraId="05543A0D" w14:textId="08C4A6E7" w:rsidR="004C04EB" w:rsidRDefault="004C04EB" w:rsidP="004C04EB">
      <w:pPr>
        <w:jc w:val="both"/>
      </w:pPr>
      <w:r>
        <w:t>Questão 1</w:t>
      </w:r>
      <w:r w:rsidR="00B675F3">
        <w:t xml:space="preserve">: </w:t>
      </w:r>
      <w:r>
        <w:t>Adalberto é dono de uma casa no litoral, onde ele gosta de passar os feriados com a família. Certa vez, ao chegar em sua casa de praia durante o Carnaval, ele avistou Diogo, morador da casa contígua, pulando o muro divisório entre os dois terrenos e deixando para trás sinais claros de vir utilizando reiteradamente a casa de Adalberto, sem qualquer autorização. A mesma cena se repetiu quando Adalberto foi passar férias na casa no mês seguinte, bem como nos feriados da Páscoa e de Tiradentes.</w:t>
      </w:r>
      <w:r w:rsidR="00B675F3">
        <w:t xml:space="preserve"> </w:t>
      </w:r>
      <w:r>
        <w:t>Cansado dessa situação, Adalberto ingressou com ação de manutenção da posse em face de Diogo no final do mês de abril. Instado a se manifestar antes da apreciação do pedido liminar, Diogo limitou-se a alegar que Adalberto não comprovou minimamente nos autos que é o legítimo proprietário da casa. Para piorar a situação, ao visitar novamente a casa no feriado de 1º de maio, Adalberto descobriu que Diogo havia se mudado para lá definitivamente e trocado a fechadura, impedindo seu ingresso no imóvel. A respeito deste caso, responda aos itens a seguir.</w:t>
      </w:r>
    </w:p>
    <w:p w14:paraId="0BFB6E06" w14:textId="071C08D9" w:rsidR="004C04EB" w:rsidRDefault="004C04EB" w:rsidP="004C04EB">
      <w:pPr>
        <w:jc w:val="both"/>
      </w:pPr>
      <w:r>
        <w:t>A) Considerando verdadeira a alegação deduzida por Diogo nos autos, seria esse fundamento bastante para justificar o indeferimento do pedido liminar? Justifique. (Valor: 0,65)</w:t>
      </w:r>
      <w:r w:rsidR="00B675F3">
        <w:t xml:space="preserve"> </w:t>
      </w:r>
      <w:r w:rsidR="00B675F3">
        <w:t xml:space="preserve">GABARITO: </w:t>
      </w:r>
      <w:r w:rsidR="00B675F3">
        <w:t xml:space="preserve"> </w:t>
      </w:r>
      <w:r>
        <w:t>Não. Não obsta à manutenção ou à reintegração na posse a alegação de propriedade, ou de outro direito sobre a coisa, nos termos do Art. 1.210, § 2º, do Código Civil. Portanto, não caberia a alegação de que a ausência de comprovação da propriedade de Adalberto sobre a casa impediria a concessão da liminar em seu favor, o que apenas seria exigível em sede de juízo petitório.</w:t>
      </w:r>
    </w:p>
    <w:p w14:paraId="7EE7648A" w14:textId="5156C7EF" w:rsidR="004C04EB" w:rsidRDefault="004C04EB" w:rsidP="004C04EB">
      <w:pPr>
        <w:jc w:val="both"/>
      </w:pPr>
      <w:r>
        <w:t>B) A natureza da ação proposta por Adalberto impede que o juiz da causa determine liminarmente a imediata reintegração da posse em favor dele? Justifique. (Valor: 0,60)</w:t>
      </w:r>
      <w:r w:rsidR="00B675F3">
        <w:t xml:space="preserve"> </w:t>
      </w:r>
      <w:r w:rsidR="00B675F3">
        <w:t xml:space="preserve">GABARITO: </w:t>
      </w:r>
      <w:r>
        <w:t xml:space="preserve"> Não. Embora Adalberto tenha proposto uma ação de manutenção da posse, demanda possessória aplicável às hipóteses de turbação, a configuração superveniente de esbulho possessório não impede, por si só, que o juiz conceda ao autor a tutela adequada (a saber, a reintegração liminar de posse), na medida em que as ações possessórias consideram-se fungíveis entre si, nos termos do Art. 554, caput, do CPC.</w:t>
      </w:r>
    </w:p>
    <w:p w14:paraId="0E090197" w14:textId="77777777" w:rsidR="004C04EB" w:rsidRDefault="004C04EB" w:rsidP="004C04EB">
      <w:pPr>
        <w:jc w:val="both"/>
      </w:pPr>
    </w:p>
    <w:p w14:paraId="3DBC4434" w14:textId="77777777" w:rsidR="004C04EB" w:rsidRPr="004C04EB" w:rsidRDefault="004C04EB" w:rsidP="004C04EB">
      <w:pPr>
        <w:jc w:val="both"/>
      </w:pPr>
      <w:r w:rsidRPr="004C04EB">
        <w:lastRenderedPageBreak/>
        <w:br/>
        <w:t> </w:t>
      </w:r>
    </w:p>
    <w:tbl>
      <w:tblPr>
        <w:tblW w:w="0" w:type="auto"/>
        <w:tblInd w:w="1" w:type="dxa"/>
        <w:tblCellMar>
          <w:left w:w="0" w:type="dxa"/>
          <w:right w:w="0" w:type="dxa"/>
        </w:tblCellMar>
        <w:tblLook w:val="04A0" w:firstRow="1" w:lastRow="0" w:firstColumn="1" w:lastColumn="0" w:noHBand="0" w:noVBand="1"/>
      </w:tblPr>
      <w:tblGrid>
        <w:gridCol w:w="6791"/>
        <w:gridCol w:w="1692"/>
      </w:tblGrid>
      <w:tr w:rsidR="004C04EB" w:rsidRPr="004C04EB" w14:paraId="15FD8DD0" w14:textId="77777777">
        <w:tc>
          <w:tcPr>
            <w:tcW w:w="0" w:type="auto"/>
            <w:tcBorders>
              <w:top w:val="single" w:sz="8" w:space="0" w:color="9A3300"/>
              <w:left w:val="single" w:sz="8" w:space="0" w:color="9A3300"/>
              <w:bottom w:val="single" w:sz="8" w:space="0" w:color="9A3300"/>
              <w:right w:val="single" w:sz="8" w:space="0" w:color="9A3300"/>
            </w:tcBorders>
            <w:shd w:val="clear" w:color="auto" w:fill="9A3300"/>
            <w:tcMar>
              <w:top w:w="55" w:type="dxa"/>
              <w:left w:w="68" w:type="dxa"/>
              <w:bottom w:w="0" w:type="dxa"/>
              <w:right w:w="20" w:type="dxa"/>
            </w:tcMar>
            <w:hideMark/>
          </w:tcPr>
          <w:p w14:paraId="7A914791" w14:textId="77777777" w:rsidR="004C04EB" w:rsidRPr="004C04EB" w:rsidRDefault="004C04EB" w:rsidP="004C04EB">
            <w:pPr>
              <w:jc w:val="both"/>
            </w:pPr>
            <w:r w:rsidRPr="004C04EB">
              <w:rPr>
                <w:b/>
                <w:bCs/>
              </w:rPr>
              <w:t>ITEM</w:t>
            </w:r>
          </w:p>
        </w:tc>
        <w:tc>
          <w:tcPr>
            <w:tcW w:w="0" w:type="auto"/>
            <w:tcBorders>
              <w:top w:val="single" w:sz="8" w:space="0" w:color="auto"/>
              <w:left w:val="nil"/>
              <w:bottom w:val="single" w:sz="8" w:space="0" w:color="auto"/>
              <w:right w:val="single" w:sz="8" w:space="0" w:color="auto"/>
            </w:tcBorders>
            <w:shd w:val="clear" w:color="auto" w:fill="9A3300"/>
            <w:tcMar>
              <w:top w:w="55" w:type="dxa"/>
              <w:left w:w="68" w:type="dxa"/>
              <w:bottom w:w="0" w:type="dxa"/>
              <w:right w:w="20" w:type="dxa"/>
            </w:tcMar>
            <w:hideMark/>
          </w:tcPr>
          <w:p w14:paraId="32738D39" w14:textId="77777777" w:rsidR="004C04EB" w:rsidRPr="004C04EB" w:rsidRDefault="004C04EB" w:rsidP="004C04EB">
            <w:pPr>
              <w:jc w:val="both"/>
            </w:pPr>
            <w:r w:rsidRPr="004C04EB">
              <w:rPr>
                <w:b/>
                <w:bCs/>
              </w:rPr>
              <w:t>PONTUAÇÃO</w:t>
            </w:r>
          </w:p>
        </w:tc>
      </w:tr>
      <w:tr w:rsidR="004C04EB" w:rsidRPr="004C04EB" w14:paraId="1D00E4C2" w14:textId="77777777">
        <w:tc>
          <w:tcPr>
            <w:tcW w:w="0" w:type="auto"/>
            <w:tcBorders>
              <w:top w:val="nil"/>
              <w:left w:val="single" w:sz="8" w:space="0" w:color="auto"/>
              <w:bottom w:val="single" w:sz="8" w:space="0" w:color="auto"/>
              <w:right w:val="single" w:sz="8" w:space="0" w:color="auto"/>
            </w:tcBorders>
            <w:tcMar>
              <w:top w:w="55" w:type="dxa"/>
              <w:left w:w="68" w:type="dxa"/>
              <w:bottom w:w="0" w:type="dxa"/>
              <w:right w:w="20" w:type="dxa"/>
            </w:tcMar>
            <w:hideMark/>
          </w:tcPr>
          <w:p w14:paraId="3B3630B1" w14:textId="77777777" w:rsidR="004C04EB" w:rsidRPr="004C04EB" w:rsidRDefault="004C04EB" w:rsidP="004C04EB">
            <w:pPr>
              <w:jc w:val="both"/>
            </w:pPr>
            <w:r w:rsidRPr="004C04EB">
              <w:rPr>
                <w:b/>
                <w:bCs/>
              </w:rPr>
              <w:t>A. </w:t>
            </w:r>
            <w:r w:rsidRPr="004C04EB">
              <w:t>Não. Em ações possessórias não se admite qualquer discussão acerca da titularidade de direitos sobre o bem (0,55), nos termos do Art. 1.210, § 2º, do CC (0,10).</w:t>
            </w:r>
          </w:p>
        </w:tc>
        <w:tc>
          <w:tcPr>
            <w:tcW w:w="0" w:type="auto"/>
            <w:tcBorders>
              <w:top w:val="nil"/>
              <w:left w:val="nil"/>
              <w:bottom w:val="single" w:sz="8" w:space="0" w:color="auto"/>
              <w:right w:val="single" w:sz="8" w:space="0" w:color="auto"/>
            </w:tcBorders>
            <w:tcMar>
              <w:top w:w="55" w:type="dxa"/>
              <w:left w:w="68" w:type="dxa"/>
              <w:bottom w:w="0" w:type="dxa"/>
              <w:right w:w="20" w:type="dxa"/>
            </w:tcMar>
            <w:vAlign w:val="center"/>
            <w:hideMark/>
          </w:tcPr>
          <w:p w14:paraId="28F6BEC2" w14:textId="77777777" w:rsidR="004C04EB" w:rsidRPr="004C04EB" w:rsidRDefault="004C04EB" w:rsidP="004C04EB">
            <w:pPr>
              <w:jc w:val="both"/>
            </w:pPr>
            <w:r w:rsidRPr="004C04EB">
              <w:t>0,00/0,55/0,65</w:t>
            </w:r>
          </w:p>
        </w:tc>
      </w:tr>
      <w:tr w:rsidR="004C04EB" w:rsidRPr="004C04EB" w14:paraId="0A80740B" w14:textId="77777777">
        <w:tc>
          <w:tcPr>
            <w:tcW w:w="0" w:type="auto"/>
            <w:tcBorders>
              <w:top w:val="nil"/>
              <w:left w:val="single" w:sz="8" w:space="0" w:color="auto"/>
              <w:bottom w:val="single" w:sz="8" w:space="0" w:color="auto"/>
              <w:right w:val="single" w:sz="8" w:space="0" w:color="auto"/>
            </w:tcBorders>
            <w:tcMar>
              <w:top w:w="55" w:type="dxa"/>
              <w:left w:w="68" w:type="dxa"/>
              <w:bottom w:w="0" w:type="dxa"/>
              <w:right w:w="20" w:type="dxa"/>
            </w:tcMar>
            <w:hideMark/>
          </w:tcPr>
          <w:p w14:paraId="46549681" w14:textId="77777777" w:rsidR="004C04EB" w:rsidRPr="004C04EB" w:rsidRDefault="004C04EB" w:rsidP="004C04EB">
            <w:pPr>
              <w:jc w:val="both"/>
            </w:pPr>
            <w:r w:rsidRPr="004C04EB">
              <w:rPr>
                <w:b/>
                <w:bCs/>
              </w:rPr>
              <w:t>B.</w:t>
            </w:r>
            <w:r w:rsidRPr="004C04EB">
              <w:t> Não. Embora a ação de manutenção da posse se destine aos casos de turbação e não de esbulho (0,20), aplica-se a todas as ações possessórias a regra da fungibilidade (0,30), prevista pelo Art. 554 do CPC (0,10).</w:t>
            </w:r>
          </w:p>
        </w:tc>
        <w:tc>
          <w:tcPr>
            <w:tcW w:w="0" w:type="auto"/>
            <w:tcBorders>
              <w:top w:val="nil"/>
              <w:left w:val="nil"/>
              <w:bottom w:val="single" w:sz="8" w:space="0" w:color="auto"/>
              <w:right w:val="single" w:sz="8" w:space="0" w:color="auto"/>
            </w:tcBorders>
            <w:tcMar>
              <w:top w:w="55" w:type="dxa"/>
              <w:left w:w="68" w:type="dxa"/>
              <w:bottom w:w="0" w:type="dxa"/>
              <w:right w:w="20" w:type="dxa"/>
            </w:tcMar>
            <w:vAlign w:val="center"/>
            <w:hideMark/>
          </w:tcPr>
          <w:p w14:paraId="361EBD43" w14:textId="77777777" w:rsidR="004C04EB" w:rsidRPr="004C04EB" w:rsidRDefault="004C04EB" w:rsidP="004C04EB">
            <w:pPr>
              <w:jc w:val="both"/>
            </w:pPr>
            <w:r w:rsidRPr="004C04EB">
              <w:t>0,00/0,20/0,30/</w:t>
            </w:r>
          </w:p>
          <w:p w14:paraId="544F8A7B" w14:textId="77777777" w:rsidR="004C04EB" w:rsidRPr="004C04EB" w:rsidRDefault="004C04EB" w:rsidP="004C04EB">
            <w:pPr>
              <w:jc w:val="both"/>
            </w:pPr>
            <w:r w:rsidRPr="004C04EB">
              <w:t>0,40/0,50/0,60</w:t>
            </w:r>
          </w:p>
        </w:tc>
      </w:tr>
    </w:tbl>
    <w:p w14:paraId="5F8DAA06" w14:textId="77777777" w:rsidR="004C04EB" w:rsidRDefault="004C04EB" w:rsidP="004C04EB">
      <w:pPr>
        <w:jc w:val="both"/>
      </w:pPr>
    </w:p>
    <w:p w14:paraId="2EF8F1FF" w14:textId="77777777" w:rsidR="004C04EB" w:rsidRDefault="004C04EB" w:rsidP="004C04EB">
      <w:pPr>
        <w:jc w:val="both"/>
      </w:pPr>
    </w:p>
    <w:p w14:paraId="069FDA59" w14:textId="77777777" w:rsidR="004C04EB" w:rsidRDefault="004C04EB" w:rsidP="004C04EB">
      <w:pPr>
        <w:jc w:val="both"/>
      </w:pPr>
    </w:p>
    <w:p w14:paraId="1F720360" w14:textId="0DBC2A43" w:rsidR="004C04EB" w:rsidRDefault="004C04EB" w:rsidP="00B675F3">
      <w:pPr>
        <w:jc w:val="both"/>
      </w:pPr>
      <w:r>
        <w:t>Questão 2</w:t>
      </w:r>
      <w:r w:rsidR="00B675F3">
        <w:t xml:space="preserve">: </w:t>
      </w:r>
      <w:r>
        <w:t>A sociedade empresária Edison Instalações celebrou contrato de prestação de serviços com o Shopping Andrade e Nascimento. No referido contrato, restou acordado que a sociedade empresária instalaria um sistema de refrigeração no shopping e, em contraprestação, este efetuaria certo pagamento.</w:t>
      </w:r>
      <w:r w:rsidR="00B675F3">
        <w:t xml:space="preserve"> </w:t>
      </w:r>
      <w:r>
        <w:t>Uma vez cumprido o serviço, contudo, o Shopping Andrade e Nascimento se recusou a efetuar o pagamento à sociedade empresária, sob o fundamento de falta de recursos e corte de despesas.</w:t>
      </w:r>
      <w:r w:rsidR="00B675F3">
        <w:t xml:space="preserve"> </w:t>
      </w:r>
      <w:r>
        <w:t>Por essa razão, Edison Instalações ajuizou ação de cobrança em face do shopping, tendo seu pedido sido julgado procedente, para condenar o shopping a pagar. Na ocasião, a sentença também consignou que o Código de Defesa do Consumidor não se aplicava ao caso concreto, pois a relação travada entre as partes não era de consumo. Em sede de apelação, o Tribunal manteve os termos da sentença e, não interposto recurso por ambas as partes, o acórdão proferido transitou em julgado.</w:t>
      </w:r>
      <w:r w:rsidR="00B675F3">
        <w:t xml:space="preserve"> </w:t>
      </w:r>
      <w:r>
        <w:t>Uma vez instaurado cumprimento de sentença pela sociedade empresária Edison Instalações, nenhum bem do shopping foi encontrado para arcar com a dívida.</w:t>
      </w:r>
      <w:r w:rsidR="00B675F3">
        <w:t xml:space="preserve"> </w:t>
      </w:r>
      <w:r>
        <w:t xml:space="preserve">Em recente diligência extrajudicial, contudo, a referida sociedade descobriu que o Shopping Andrade e Nascimento faz parte de um grupo econômico formado por diversos shoppings. Além disso, também se apurou que inexiste separação de fato entre os patrimônios dos shoppings pertencentes ao </w:t>
      </w:r>
      <w:proofErr w:type="spellStart"/>
      <w:r>
        <w:t>grupo.VNessa</w:t>
      </w:r>
      <w:proofErr w:type="spellEnd"/>
      <w:r>
        <w:t xml:space="preserve"> situação hipotética, responda os itens a seguir.</w:t>
      </w:r>
    </w:p>
    <w:p w14:paraId="3B24FF81" w14:textId="30A11C52" w:rsidR="004C04EB" w:rsidRDefault="004C04EB" w:rsidP="004C04EB">
      <w:pPr>
        <w:jc w:val="both"/>
      </w:pPr>
      <w:r>
        <w:t>A) A sociedade empresária Edison Instalações pode fazer uso de algum instituto jurídico do Direito Civil para atingir os bens dos demais shoppings pertencentes ao grupo econômico? Justifique. (Valor: 0,65)</w:t>
      </w:r>
      <w:r w:rsidR="00B675F3">
        <w:t xml:space="preserve"> </w:t>
      </w:r>
      <w:r w:rsidR="00B675F3">
        <w:t xml:space="preserve">GABARITO: </w:t>
      </w:r>
      <w:r w:rsidR="00B675F3">
        <w:t xml:space="preserve"> </w:t>
      </w:r>
      <w:r>
        <w:t xml:space="preserve">Sim. A sociedade empresária Edison Instalações poderá fazer uso do instituto da desconsideração da personalidade jurídica previsto no Art. 50 do CC, a fim de atingir os demais shoppings pertencentes ao grupo econômico. A mera existência de grupo econômico não autorizaria a desconsideração da personalidade jurídica (Art. 50, § 4º, do CC). Contudo, no caso concreto, foi apurada na diligência extrajudicial realizada que inexiste separação de fato entre os patrimônios dos shoppings, ou seja, há confusão patrimonial entre as pessoas jurídicas </w:t>
      </w:r>
      <w:proofErr w:type="spellStart"/>
      <w:r>
        <w:t>pertecentes</w:t>
      </w:r>
      <w:proofErr w:type="spellEnd"/>
      <w:r>
        <w:t xml:space="preserve"> ao grupo (Art. 50, caput c/c. o Art. 50, § 2º, do CC). Assim, diante da confusão patrimonial, é possível a desconsideração.</w:t>
      </w:r>
    </w:p>
    <w:p w14:paraId="5013B684" w14:textId="77777777" w:rsidR="004C04EB" w:rsidRDefault="004C04EB" w:rsidP="004C04EB">
      <w:pPr>
        <w:jc w:val="both"/>
      </w:pPr>
    </w:p>
    <w:p w14:paraId="2E378833" w14:textId="2E5EEA93" w:rsidR="004C04EB" w:rsidRDefault="004C04EB" w:rsidP="004C04EB">
      <w:pPr>
        <w:jc w:val="both"/>
      </w:pPr>
      <w:r>
        <w:lastRenderedPageBreak/>
        <w:t>B) Qual medida processual cabível pode ser adotada pela sociedade empresária Edison Instalações para atingir os bens dos demais shoppings pertencentes ao grupo econômico? Justifique. (Valor: 0,60)</w:t>
      </w:r>
      <w:r w:rsidR="00B675F3">
        <w:t xml:space="preserve"> </w:t>
      </w:r>
      <w:r w:rsidR="00B675F3">
        <w:t>GABARITO:</w:t>
      </w:r>
      <w:r>
        <w:t xml:space="preserve"> A sociedade empresária Edison Instalações poderá requerer a instauração de incidente de desconsideração da personalidade jurídica previsto no Art. 133 ou no Art. 134, ambos do CPC.</w:t>
      </w:r>
    </w:p>
    <w:p w14:paraId="4D9BBFFC" w14:textId="77777777" w:rsidR="004C04EB" w:rsidRDefault="004C04EB" w:rsidP="004C04EB">
      <w:pPr>
        <w:jc w:val="both"/>
      </w:pPr>
    </w:p>
    <w:p w14:paraId="19DBA8B0" w14:textId="77777777" w:rsidR="004C04EB" w:rsidRPr="004C04EB" w:rsidRDefault="004C04EB" w:rsidP="004C04EB">
      <w:pPr>
        <w:jc w:val="both"/>
        <w:rPr>
          <w:b/>
          <w:bCs/>
        </w:rPr>
      </w:pPr>
      <w:r w:rsidRPr="004C04EB">
        <w:rPr>
          <w:b/>
          <w:bCs/>
        </w:rPr>
        <w:t>Distribuição dos Pontos</w:t>
      </w:r>
    </w:p>
    <w:tbl>
      <w:tblPr>
        <w:tblW w:w="0" w:type="auto"/>
        <w:tblInd w:w="-20" w:type="dxa"/>
        <w:tblCellMar>
          <w:left w:w="0" w:type="dxa"/>
          <w:right w:w="0" w:type="dxa"/>
        </w:tblCellMar>
        <w:tblLook w:val="04A0" w:firstRow="1" w:lastRow="0" w:firstColumn="1" w:lastColumn="0" w:noHBand="0" w:noVBand="1"/>
      </w:tblPr>
      <w:tblGrid>
        <w:gridCol w:w="6903"/>
        <w:gridCol w:w="1611"/>
      </w:tblGrid>
      <w:tr w:rsidR="004C04EB" w:rsidRPr="004C04EB" w14:paraId="03D2F103" w14:textId="77777777">
        <w:tc>
          <w:tcPr>
            <w:tcW w:w="0" w:type="auto"/>
            <w:tcBorders>
              <w:top w:val="single" w:sz="8" w:space="0" w:color="auto"/>
              <w:left w:val="single" w:sz="8" w:space="0" w:color="auto"/>
              <w:bottom w:val="single" w:sz="8" w:space="0" w:color="auto"/>
              <w:right w:val="nil"/>
            </w:tcBorders>
            <w:shd w:val="clear" w:color="auto" w:fill="9A3300"/>
            <w:tcMar>
              <w:top w:w="53" w:type="dxa"/>
              <w:left w:w="68" w:type="dxa"/>
              <w:bottom w:w="0" w:type="dxa"/>
              <w:right w:w="20" w:type="dxa"/>
            </w:tcMar>
            <w:hideMark/>
          </w:tcPr>
          <w:p w14:paraId="1AE320F6" w14:textId="77777777" w:rsidR="004C04EB" w:rsidRPr="004C04EB" w:rsidRDefault="004C04EB" w:rsidP="004C04EB">
            <w:pPr>
              <w:jc w:val="both"/>
            </w:pPr>
            <w:r w:rsidRPr="004C04EB">
              <w:rPr>
                <w:b/>
                <w:bCs/>
              </w:rPr>
              <w:t>ITEM</w:t>
            </w:r>
          </w:p>
        </w:tc>
        <w:tc>
          <w:tcPr>
            <w:tcW w:w="0" w:type="auto"/>
            <w:tcBorders>
              <w:top w:val="single" w:sz="8" w:space="0" w:color="auto"/>
              <w:left w:val="nil"/>
              <w:bottom w:val="single" w:sz="8" w:space="0" w:color="auto"/>
              <w:right w:val="nil"/>
            </w:tcBorders>
            <w:shd w:val="clear" w:color="auto" w:fill="9A3300"/>
            <w:tcMar>
              <w:top w:w="53" w:type="dxa"/>
              <w:left w:w="68" w:type="dxa"/>
              <w:bottom w:w="0" w:type="dxa"/>
              <w:right w:w="20" w:type="dxa"/>
            </w:tcMar>
            <w:hideMark/>
          </w:tcPr>
          <w:p w14:paraId="1674399D" w14:textId="77777777" w:rsidR="004C04EB" w:rsidRPr="004C04EB" w:rsidRDefault="004C04EB" w:rsidP="004C04EB">
            <w:pPr>
              <w:jc w:val="both"/>
            </w:pPr>
            <w:r w:rsidRPr="004C04EB">
              <w:rPr>
                <w:b/>
                <w:bCs/>
              </w:rPr>
              <w:t>PONTUAÇÃO</w:t>
            </w:r>
          </w:p>
        </w:tc>
      </w:tr>
      <w:tr w:rsidR="004C04EB" w:rsidRPr="004C04EB" w14:paraId="1C586108"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4E74C3AD" w14:textId="77777777" w:rsidR="004C04EB" w:rsidRPr="004C04EB" w:rsidRDefault="004C04EB" w:rsidP="004C04EB">
            <w:pPr>
              <w:jc w:val="both"/>
            </w:pPr>
            <w:r w:rsidRPr="004C04EB">
              <w:rPr>
                <w:b/>
                <w:bCs/>
              </w:rPr>
              <w:t>A.</w:t>
            </w:r>
            <w:r w:rsidRPr="004C04EB">
              <w:t> Sim, a sociedade empresária</w:t>
            </w:r>
            <w:r w:rsidRPr="004C04EB">
              <w:rPr>
                <w:i/>
                <w:iCs/>
              </w:rPr>
              <w:t> Edison Instalações</w:t>
            </w:r>
            <w:r w:rsidRPr="004C04EB">
              <w:t> poderá fazer uso do instituto jurídico da desconsideração da personalidade jurídica (0,30), </w:t>
            </w:r>
            <w:r w:rsidRPr="004C04EB">
              <w:rPr>
                <w:b/>
                <w:bCs/>
              </w:rPr>
              <w:t>pois</w:t>
            </w:r>
            <w:r w:rsidRPr="004C04EB">
              <w:t>, no caso concreto, houve confusão patrimonial, diante da inexistência de separação de fato entre os patrimônios </w:t>
            </w:r>
            <w:r w:rsidRPr="004C04EB">
              <w:rPr>
                <w:i/>
                <w:iCs/>
              </w:rPr>
              <w:t>dos shoppings </w:t>
            </w:r>
            <w:r w:rsidRPr="004C04EB">
              <w:t>(0,25), nos termos do Art. 50 do CC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7083978A" w14:textId="77777777" w:rsidR="004C04EB" w:rsidRPr="004C04EB" w:rsidRDefault="004C04EB" w:rsidP="004C04EB">
            <w:pPr>
              <w:jc w:val="both"/>
            </w:pPr>
            <w:r w:rsidRPr="004C04EB">
              <w:t>0,00/0,30/</w:t>
            </w:r>
          </w:p>
          <w:p w14:paraId="03598538" w14:textId="77777777" w:rsidR="004C04EB" w:rsidRPr="004C04EB" w:rsidRDefault="004C04EB" w:rsidP="004C04EB">
            <w:pPr>
              <w:jc w:val="both"/>
            </w:pPr>
            <w:r w:rsidRPr="004C04EB">
              <w:t>0,40/0,55/0,65</w:t>
            </w:r>
          </w:p>
        </w:tc>
      </w:tr>
      <w:tr w:rsidR="004C04EB" w:rsidRPr="004C04EB" w14:paraId="5BE0C29D"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058F1F6A" w14:textId="77777777" w:rsidR="004C04EB" w:rsidRPr="004C04EB" w:rsidRDefault="004C04EB" w:rsidP="004C04EB">
            <w:pPr>
              <w:jc w:val="both"/>
            </w:pPr>
            <w:r w:rsidRPr="004C04EB">
              <w:rPr>
                <w:b/>
                <w:bCs/>
              </w:rPr>
              <w:t>B.</w:t>
            </w:r>
            <w:r w:rsidRPr="004C04EB">
              <w:t> Instauração de incidente de desconsideração da personalidade jurídica (0,50), previsto no Art. 133 </w:t>
            </w:r>
            <w:r w:rsidRPr="004C04EB">
              <w:rPr>
                <w:b/>
                <w:bCs/>
                <w:u w:val="single"/>
              </w:rPr>
              <w:t>ou</w:t>
            </w:r>
            <w:r w:rsidRPr="004C04EB">
              <w:rPr>
                <w:b/>
                <w:bCs/>
              </w:rPr>
              <w:t> </w:t>
            </w:r>
            <w:r w:rsidRPr="004C04EB">
              <w:t>no Art. 134, ambos do CPC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5EB4DF20" w14:textId="77777777" w:rsidR="004C04EB" w:rsidRPr="004C04EB" w:rsidRDefault="004C04EB" w:rsidP="004C04EB">
            <w:pPr>
              <w:jc w:val="both"/>
            </w:pPr>
            <w:r w:rsidRPr="004C04EB">
              <w:t>0,00/0,50/0,60</w:t>
            </w:r>
          </w:p>
        </w:tc>
      </w:tr>
    </w:tbl>
    <w:p w14:paraId="6BE20A17" w14:textId="5896E1C4" w:rsidR="004C04EB" w:rsidRDefault="004C04EB" w:rsidP="004C04EB">
      <w:pPr>
        <w:jc w:val="both"/>
      </w:pPr>
      <w:r w:rsidRPr="004C04EB">
        <w:br/>
        <w:t> </w:t>
      </w:r>
    </w:p>
    <w:p w14:paraId="573EEDD9" w14:textId="77777777" w:rsidR="004C04EB" w:rsidRDefault="004C04EB" w:rsidP="004C04EB">
      <w:pPr>
        <w:jc w:val="both"/>
      </w:pPr>
    </w:p>
    <w:p w14:paraId="02DAFBEC" w14:textId="0A46DB0D" w:rsidR="004C04EB" w:rsidRPr="004C04EB" w:rsidRDefault="004C04EB" w:rsidP="004C04EB">
      <w:pPr>
        <w:jc w:val="both"/>
      </w:pPr>
      <w:r w:rsidRPr="004C04EB">
        <w:rPr>
          <w:b/>
          <w:bCs/>
        </w:rPr>
        <w:t>Questão 3</w:t>
      </w:r>
      <w:r w:rsidR="00B675F3">
        <w:t xml:space="preserve">: </w:t>
      </w:r>
      <w:r w:rsidRPr="004C04EB">
        <w:t>Helena, solteira, não convivente em união estável, sem filhos, maior de idade e com pais já falecidos, elaborou testamento particular, respeitando os limites da legítima, o qual foi lido na presença de três testemunhas, visando trazer disposições </w:t>
      </w:r>
      <w:r w:rsidRPr="004C04EB">
        <w:rPr>
          <w:i/>
          <w:iCs/>
        </w:rPr>
        <w:t>post mortem</w:t>
      </w:r>
      <w:r w:rsidRPr="004C04EB">
        <w:t> sobre a destinação de bens integrantes de seu patrimônio.</w:t>
      </w:r>
      <w:r w:rsidR="00B675F3">
        <w:t xml:space="preserve"> </w:t>
      </w:r>
      <w:r w:rsidRPr="004C04EB">
        <w:t>Nele, Helena determinou que o imóvel no qual reside terá sua propriedade transferida a Jorge, seu irmão, a título de fideicomisso, até a data em que Felipe, filho de Jorge, com oito anos de idade, venha a atingir a maioridade.</w:t>
      </w:r>
      <w:r w:rsidR="00B675F3">
        <w:t xml:space="preserve"> </w:t>
      </w:r>
      <w:r w:rsidRPr="004C04EB">
        <w:t>Ainda, seus dois automóveis serão deixados a título de legado em favor da </w:t>
      </w:r>
      <w:r w:rsidRPr="004C04EB">
        <w:rPr>
          <w:i/>
          <w:iCs/>
        </w:rPr>
        <w:t>Associação Patinhas do Amor</w:t>
      </w:r>
      <w:r w:rsidRPr="004C04EB">
        <w:t>, a qual assumirá o encargo de os utilizar exclusivamente em prol do transporte, recolhimento e cuidado com animais abandonados.</w:t>
      </w:r>
      <w:r w:rsidR="00B675F3">
        <w:t xml:space="preserve"> </w:t>
      </w:r>
      <w:r w:rsidRPr="004C04EB">
        <w:t>Sobre a hipótese apresentada, responda aos itens a seguir.</w:t>
      </w:r>
    </w:p>
    <w:p w14:paraId="5FFB2D75" w14:textId="0F656AB7" w:rsidR="004C04EB" w:rsidRPr="004C04EB" w:rsidRDefault="004C04EB" w:rsidP="004C04EB">
      <w:pPr>
        <w:jc w:val="both"/>
      </w:pPr>
      <w:r w:rsidRPr="004C04EB">
        <w:t> </w:t>
      </w:r>
      <w:r w:rsidRPr="004C04EB">
        <w:rPr>
          <w:b/>
          <w:bCs/>
        </w:rPr>
        <w:t>A) Seria válida a substituição fideicomissária estabelecida por Helena? Justifique. (Valor: 0,60)</w:t>
      </w:r>
      <w:r w:rsidR="00B675F3">
        <w:rPr>
          <w:b/>
          <w:bCs/>
        </w:rPr>
        <w:t xml:space="preserve">. </w:t>
      </w:r>
      <w:r w:rsidR="00B675F3">
        <w:t xml:space="preserve">GABARITO: </w:t>
      </w:r>
      <w:r w:rsidRPr="004C04EB">
        <w:t>Não, a substituição fideicomissária seria inválida, pois o fideicomissário já era nascido quando a disposição testamentária foi realizada, nos termos do Art. 1.952, </w:t>
      </w:r>
      <w:r w:rsidRPr="004C04EB">
        <w:rPr>
          <w:i/>
          <w:iCs/>
        </w:rPr>
        <w:t>caput</w:t>
      </w:r>
      <w:r w:rsidRPr="004C04EB">
        <w:t>, do CC.</w:t>
      </w:r>
    </w:p>
    <w:p w14:paraId="703707BB" w14:textId="20DF5122" w:rsidR="004C04EB" w:rsidRPr="004C04EB" w:rsidRDefault="004C04EB" w:rsidP="004C04EB">
      <w:pPr>
        <w:jc w:val="both"/>
      </w:pPr>
      <w:r w:rsidRPr="004C04EB">
        <w:rPr>
          <w:b/>
          <w:bCs/>
        </w:rPr>
        <w:t>B) A Associação Patinhas do Amor poderá requerer o cumprimento do testamento de Helena em juízo? Justifique. (Valor: 0,65)</w:t>
      </w:r>
      <w:r w:rsidR="00B675F3">
        <w:rPr>
          <w:b/>
          <w:bCs/>
        </w:rPr>
        <w:t xml:space="preserve">. </w:t>
      </w:r>
      <w:r w:rsidR="00B675F3">
        <w:t xml:space="preserve">GABARITO: </w:t>
      </w:r>
      <w:r w:rsidRPr="004C04EB">
        <w:t>Sim, porque é legatária de Helena, tendo legitimidade ativa concorrente para fazer o requerimento, conforme o Art. 737, </w:t>
      </w:r>
      <w:r w:rsidRPr="004C04EB">
        <w:rPr>
          <w:i/>
          <w:iCs/>
        </w:rPr>
        <w:t>caput</w:t>
      </w:r>
      <w:r w:rsidRPr="004C04EB">
        <w:t>, do CPC.</w:t>
      </w:r>
    </w:p>
    <w:p w14:paraId="664BCEB5" w14:textId="32384FD5" w:rsidR="004C04EB" w:rsidRDefault="004C04EB" w:rsidP="004C04EB">
      <w:pPr>
        <w:jc w:val="both"/>
        <w:rPr>
          <w:b/>
          <w:bCs/>
        </w:rPr>
      </w:pPr>
    </w:p>
    <w:p w14:paraId="0E8AABC4" w14:textId="77777777" w:rsidR="00B675F3" w:rsidRPr="004C04EB" w:rsidRDefault="00B675F3" w:rsidP="004C04EB">
      <w:pPr>
        <w:jc w:val="both"/>
        <w:rPr>
          <w:b/>
          <w:bCs/>
        </w:rPr>
      </w:pPr>
    </w:p>
    <w:tbl>
      <w:tblPr>
        <w:tblW w:w="0" w:type="auto"/>
        <w:tblInd w:w="1" w:type="dxa"/>
        <w:tblCellMar>
          <w:left w:w="0" w:type="dxa"/>
          <w:right w:w="0" w:type="dxa"/>
        </w:tblCellMar>
        <w:tblLook w:val="04A0" w:firstRow="1" w:lastRow="0" w:firstColumn="1" w:lastColumn="0" w:noHBand="0" w:noVBand="1"/>
      </w:tblPr>
      <w:tblGrid>
        <w:gridCol w:w="6801"/>
        <w:gridCol w:w="1692"/>
      </w:tblGrid>
      <w:tr w:rsidR="004C04EB" w:rsidRPr="004C04EB" w14:paraId="6736A600" w14:textId="77777777">
        <w:tc>
          <w:tcPr>
            <w:tcW w:w="0" w:type="auto"/>
            <w:tcBorders>
              <w:top w:val="single" w:sz="8" w:space="0" w:color="9A3300"/>
              <w:left w:val="single" w:sz="8" w:space="0" w:color="9A3300"/>
              <w:bottom w:val="single" w:sz="8" w:space="0" w:color="9A3300"/>
              <w:right w:val="single" w:sz="8" w:space="0" w:color="9A3300"/>
            </w:tcBorders>
            <w:shd w:val="clear" w:color="auto" w:fill="9A3300"/>
            <w:tcMar>
              <w:top w:w="53" w:type="dxa"/>
              <w:left w:w="68" w:type="dxa"/>
              <w:bottom w:w="0" w:type="dxa"/>
              <w:right w:w="20" w:type="dxa"/>
            </w:tcMar>
            <w:hideMark/>
          </w:tcPr>
          <w:p w14:paraId="0545F570" w14:textId="77777777" w:rsidR="004C04EB" w:rsidRPr="004C04EB" w:rsidRDefault="004C04EB" w:rsidP="004C04EB">
            <w:pPr>
              <w:jc w:val="both"/>
            </w:pPr>
            <w:r w:rsidRPr="004C04EB">
              <w:rPr>
                <w:b/>
                <w:bCs/>
              </w:rPr>
              <w:t>ITEM</w:t>
            </w:r>
          </w:p>
        </w:tc>
        <w:tc>
          <w:tcPr>
            <w:tcW w:w="0" w:type="auto"/>
            <w:tcBorders>
              <w:top w:val="single" w:sz="8" w:space="0" w:color="auto"/>
              <w:left w:val="nil"/>
              <w:bottom w:val="single" w:sz="8" w:space="0" w:color="auto"/>
              <w:right w:val="nil"/>
            </w:tcBorders>
            <w:shd w:val="clear" w:color="auto" w:fill="9A3300"/>
            <w:tcMar>
              <w:top w:w="53" w:type="dxa"/>
              <w:left w:w="68" w:type="dxa"/>
              <w:bottom w:w="0" w:type="dxa"/>
              <w:right w:w="20" w:type="dxa"/>
            </w:tcMar>
            <w:hideMark/>
          </w:tcPr>
          <w:p w14:paraId="67E56A94" w14:textId="77777777" w:rsidR="004C04EB" w:rsidRPr="004C04EB" w:rsidRDefault="004C04EB" w:rsidP="004C04EB">
            <w:pPr>
              <w:jc w:val="both"/>
            </w:pPr>
            <w:r w:rsidRPr="004C04EB">
              <w:rPr>
                <w:b/>
                <w:bCs/>
              </w:rPr>
              <w:t>PONTUAÇÃO</w:t>
            </w:r>
          </w:p>
        </w:tc>
      </w:tr>
      <w:tr w:rsidR="004C04EB" w:rsidRPr="004C04EB" w14:paraId="067AC07B"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368B3FF8" w14:textId="77777777" w:rsidR="004C04EB" w:rsidRPr="004C04EB" w:rsidRDefault="004C04EB" w:rsidP="004C04EB">
            <w:pPr>
              <w:jc w:val="both"/>
            </w:pPr>
            <w:r w:rsidRPr="004C04EB">
              <w:rPr>
                <w:b/>
                <w:bCs/>
              </w:rPr>
              <w:t>A.</w:t>
            </w:r>
            <w:r w:rsidRPr="004C04EB">
              <w:t> Não, a substituição fideicomissária seria inválida, pois o fideicomissário já era nascido quando a disposição testamentária foi realizada (0,50), nos termos do Art. 1.952, </w:t>
            </w:r>
            <w:r w:rsidRPr="004C04EB">
              <w:rPr>
                <w:i/>
                <w:iCs/>
              </w:rPr>
              <w:t>caput</w:t>
            </w:r>
            <w:r w:rsidRPr="004C04EB">
              <w:t>, do CC.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1721CB23" w14:textId="77777777" w:rsidR="004C04EB" w:rsidRPr="004C04EB" w:rsidRDefault="004C04EB" w:rsidP="004C04EB">
            <w:pPr>
              <w:jc w:val="both"/>
            </w:pPr>
            <w:r w:rsidRPr="004C04EB">
              <w:t>0,00/0,50/0,60</w:t>
            </w:r>
          </w:p>
        </w:tc>
      </w:tr>
      <w:tr w:rsidR="004C04EB" w:rsidRPr="004C04EB" w14:paraId="66954DFA"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2E36DC17" w14:textId="77777777" w:rsidR="004C04EB" w:rsidRPr="004C04EB" w:rsidRDefault="004C04EB" w:rsidP="004C04EB">
            <w:pPr>
              <w:jc w:val="both"/>
            </w:pPr>
            <w:r w:rsidRPr="004C04EB">
              <w:rPr>
                <w:b/>
                <w:bCs/>
              </w:rPr>
              <w:lastRenderedPageBreak/>
              <w:t>B.</w:t>
            </w:r>
            <w:r w:rsidRPr="004C04EB">
              <w:t> Sim. A associação tem legitimidade ativa concorrente para fazer o requerimento (0,40), uma vez que é legatária de Helena (0,15), conforme o Art. 737, </w:t>
            </w:r>
            <w:r w:rsidRPr="004C04EB">
              <w:rPr>
                <w:i/>
                <w:iCs/>
              </w:rPr>
              <w:t>caput</w:t>
            </w:r>
            <w:r w:rsidRPr="004C04EB">
              <w:t>, do CPC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09A63B0C" w14:textId="77777777" w:rsidR="004C04EB" w:rsidRPr="004C04EB" w:rsidRDefault="004C04EB" w:rsidP="004C04EB">
            <w:pPr>
              <w:jc w:val="both"/>
            </w:pPr>
            <w:r w:rsidRPr="004C04EB">
              <w:t>0,00/0,40/0,50/</w:t>
            </w:r>
          </w:p>
          <w:p w14:paraId="4933E2EC" w14:textId="77777777" w:rsidR="004C04EB" w:rsidRPr="004C04EB" w:rsidRDefault="004C04EB" w:rsidP="004C04EB">
            <w:pPr>
              <w:jc w:val="both"/>
            </w:pPr>
            <w:r w:rsidRPr="004C04EB">
              <w:t>0,55/0,65</w:t>
            </w:r>
          </w:p>
        </w:tc>
      </w:tr>
    </w:tbl>
    <w:p w14:paraId="14D4999A" w14:textId="1D29B019" w:rsidR="004C04EB" w:rsidRDefault="004C04EB" w:rsidP="004C04EB">
      <w:pPr>
        <w:jc w:val="both"/>
      </w:pPr>
    </w:p>
    <w:p w14:paraId="1BCBD2A6" w14:textId="612FC041" w:rsidR="004C04EB" w:rsidRPr="004C04EB" w:rsidRDefault="004C04EB" w:rsidP="004C04EB">
      <w:pPr>
        <w:jc w:val="both"/>
      </w:pPr>
      <w:r w:rsidRPr="004C04EB">
        <w:rPr>
          <w:b/>
          <w:bCs/>
        </w:rPr>
        <w:t>Questão 4</w:t>
      </w:r>
      <w:r w:rsidR="00B675F3">
        <w:t xml:space="preserve">: </w:t>
      </w:r>
      <w:r w:rsidRPr="004C04EB">
        <w:t>Gabriel, sendo proprietário de um apartamento, resolveu celebrar com Ana, em janeiro de 2020, contrato de locação de imóvel residencial pelo prazo de 30 (trinta) meses. Para tanto, Ana apresentou como fiador seu amigo Rafael, casado em regime de comunhão parcial de bens com Maria desde o ano de 2010. Na época da formalização do contrato principal (locação) e do acessório (fiança), Maria estava em viagem ao exterior, não tendo participado dos atos praticados por Rafael, seu marido.</w:t>
      </w:r>
      <w:r w:rsidR="00B675F3">
        <w:t xml:space="preserve"> </w:t>
      </w:r>
      <w:r w:rsidRPr="004C04EB">
        <w:t>Após alguns meses, a inquilina parou de pagar os aluguéis e, depois de diversas tentativas frustradas de reaver os valores inadimplidos de forma amigável, Gabriel ajuizou ação de execução cujo título constitui contrato de locação, figurando como executados Ana, na qualidade de locatária, e Rafael, na qualidade de fiador. Na referida ação de execução, foram opostos Embargos de Terceiros por Maria, que sofreu constrição em seu patrimônio para pagamento da dívida de Ana, alegando a nulidade da fiança prestada por seu marido.</w:t>
      </w:r>
      <w:r w:rsidR="00B675F3">
        <w:t xml:space="preserve"> </w:t>
      </w:r>
      <w:r w:rsidRPr="004C04EB">
        <w:t>Sobre o caso apresentado, responda aos questionamentos a seguir.</w:t>
      </w:r>
    </w:p>
    <w:p w14:paraId="072DCDE6" w14:textId="445261BF" w:rsidR="004C04EB" w:rsidRPr="004C04EB" w:rsidRDefault="004C04EB" w:rsidP="004C04EB">
      <w:pPr>
        <w:jc w:val="both"/>
      </w:pPr>
      <w:r w:rsidRPr="004C04EB">
        <w:t> </w:t>
      </w:r>
      <w:r w:rsidRPr="004C04EB">
        <w:rPr>
          <w:b/>
          <w:bCs/>
        </w:rPr>
        <w:t>A) Assiste razão à pretensão de Maria? Justifique. (Valor: 0,65)</w:t>
      </w:r>
    </w:p>
    <w:p w14:paraId="7B7F7911" w14:textId="1069C25F" w:rsidR="004C04EB" w:rsidRPr="004C04EB" w:rsidRDefault="00B675F3" w:rsidP="004C04EB">
      <w:pPr>
        <w:jc w:val="both"/>
      </w:pPr>
      <w:r>
        <w:t xml:space="preserve">GABARITO: </w:t>
      </w:r>
      <w:r>
        <w:t xml:space="preserve"> </w:t>
      </w:r>
      <w:r w:rsidR="004C04EB" w:rsidRPr="004C04EB">
        <w:t>Sim, diante da ausência de outorga conjugal, nos termos do Art. 1.647, inciso III, do CC, </w:t>
      </w:r>
      <w:r w:rsidR="004C04EB" w:rsidRPr="004C04EB">
        <w:rPr>
          <w:b/>
          <w:bCs/>
          <w:i/>
          <w:iCs/>
          <w:u w:val="single"/>
        </w:rPr>
        <w:t>ou</w:t>
      </w:r>
      <w:r w:rsidR="004C04EB" w:rsidRPr="004C04EB">
        <w:t> na Súmula 332 do STJ.</w:t>
      </w:r>
    </w:p>
    <w:p w14:paraId="4D1C2ABD" w14:textId="163E5835" w:rsidR="004C04EB" w:rsidRPr="004C04EB" w:rsidRDefault="004C04EB" w:rsidP="004C04EB">
      <w:pPr>
        <w:jc w:val="both"/>
      </w:pPr>
      <w:r w:rsidRPr="004C04EB">
        <w:rPr>
          <w:b/>
          <w:bCs/>
        </w:rPr>
        <w:t> B) Na eventualidade de o Magistrado acolher o pedido de Maria proferindo decisão favorável e determinando o cancelamento das medidas constritivas sobre o patrimônio objeto dos embargos, qual recurso poderá ser apresentado por Gabriel? Justifique. (Valor: 0,60)</w:t>
      </w:r>
      <w:r w:rsidR="00B675F3">
        <w:t xml:space="preserve">. </w:t>
      </w:r>
      <w:r w:rsidR="00B675F3">
        <w:t xml:space="preserve">GABARITO: </w:t>
      </w:r>
      <w:r w:rsidR="00B675F3">
        <w:t xml:space="preserve"> </w:t>
      </w:r>
      <w:r w:rsidRPr="004C04EB">
        <w:t>É cabível o recurso de Apelação, nos termos do Art. 1.009 do CPC, pois a decisão que julgou os Embargos de Terceiro proposto por Maria tem natureza jurídica de sentença</w:t>
      </w:r>
    </w:p>
    <w:p w14:paraId="16714F17" w14:textId="70CA9BD4" w:rsidR="004C04EB" w:rsidRPr="004C04EB" w:rsidRDefault="004C04EB" w:rsidP="004C04EB">
      <w:pPr>
        <w:jc w:val="both"/>
        <w:rPr>
          <w:b/>
          <w:bCs/>
        </w:rPr>
      </w:pPr>
    </w:p>
    <w:tbl>
      <w:tblPr>
        <w:tblW w:w="0" w:type="auto"/>
        <w:tblInd w:w="1" w:type="dxa"/>
        <w:tblCellMar>
          <w:left w:w="0" w:type="dxa"/>
          <w:right w:w="0" w:type="dxa"/>
        </w:tblCellMar>
        <w:tblLook w:val="04A0" w:firstRow="1" w:lastRow="0" w:firstColumn="1" w:lastColumn="0" w:noHBand="0" w:noVBand="1"/>
      </w:tblPr>
      <w:tblGrid>
        <w:gridCol w:w="6530"/>
        <w:gridCol w:w="1963"/>
      </w:tblGrid>
      <w:tr w:rsidR="004C04EB" w:rsidRPr="004C04EB" w14:paraId="2607749C" w14:textId="77777777">
        <w:tc>
          <w:tcPr>
            <w:tcW w:w="0" w:type="auto"/>
            <w:tcBorders>
              <w:top w:val="single" w:sz="8" w:space="0" w:color="auto"/>
              <w:left w:val="single" w:sz="8" w:space="0" w:color="auto"/>
              <w:bottom w:val="single" w:sz="8" w:space="0" w:color="auto"/>
              <w:right w:val="nil"/>
            </w:tcBorders>
            <w:shd w:val="clear" w:color="auto" w:fill="9A3300"/>
            <w:tcMar>
              <w:top w:w="53" w:type="dxa"/>
              <w:left w:w="68" w:type="dxa"/>
              <w:bottom w:w="14" w:type="dxa"/>
              <w:right w:w="20" w:type="dxa"/>
            </w:tcMar>
            <w:vAlign w:val="center"/>
            <w:hideMark/>
          </w:tcPr>
          <w:p w14:paraId="13F3EDBD" w14:textId="77777777" w:rsidR="004C04EB" w:rsidRPr="004C04EB" w:rsidRDefault="004C04EB" w:rsidP="004C04EB">
            <w:pPr>
              <w:jc w:val="both"/>
            </w:pPr>
            <w:r w:rsidRPr="004C04EB">
              <w:rPr>
                <w:b/>
                <w:bCs/>
              </w:rPr>
              <w:t>ITEM</w:t>
            </w:r>
          </w:p>
        </w:tc>
        <w:tc>
          <w:tcPr>
            <w:tcW w:w="0" w:type="auto"/>
            <w:tcBorders>
              <w:top w:val="single" w:sz="8" w:space="0" w:color="auto"/>
              <w:left w:val="nil"/>
              <w:bottom w:val="single" w:sz="8" w:space="0" w:color="auto"/>
              <w:right w:val="nil"/>
            </w:tcBorders>
            <w:shd w:val="clear" w:color="auto" w:fill="9A3300"/>
            <w:tcMar>
              <w:top w:w="53" w:type="dxa"/>
              <w:left w:w="68" w:type="dxa"/>
              <w:bottom w:w="14" w:type="dxa"/>
              <w:right w:w="20" w:type="dxa"/>
            </w:tcMar>
            <w:hideMark/>
          </w:tcPr>
          <w:p w14:paraId="0FF430F9" w14:textId="77777777" w:rsidR="004C04EB" w:rsidRPr="004C04EB" w:rsidRDefault="004C04EB" w:rsidP="004C04EB">
            <w:pPr>
              <w:jc w:val="both"/>
            </w:pPr>
            <w:r w:rsidRPr="004C04EB">
              <w:rPr>
                <w:b/>
                <w:bCs/>
              </w:rPr>
              <w:t>PONTUAÇÃO</w:t>
            </w:r>
          </w:p>
        </w:tc>
      </w:tr>
      <w:tr w:rsidR="004C04EB" w:rsidRPr="004C04EB" w14:paraId="46910918" w14:textId="77777777">
        <w:tc>
          <w:tcPr>
            <w:tcW w:w="0" w:type="auto"/>
            <w:tcBorders>
              <w:top w:val="nil"/>
              <w:left w:val="single" w:sz="8" w:space="0" w:color="auto"/>
              <w:bottom w:val="single" w:sz="8" w:space="0" w:color="auto"/>
              <w:right w:val="single" w:sz="8" w:space="0" w:color="auto"/>
            </w:tcBorders>
            <w:tcMar>
              <w:top w:w="53" w:type="dxa"/>
              <w:left w:w="68" w:type="dxa"/>
              <w:bottom w:w="14" w:type="dxa"/>
              <w:right w:w="20" w:type="dxa"/>
            </w:tcMar>
            <w:vAlign w:val="bottom"/>
            <w:hideMark/>
          </w:tcPr>
          <w:p w14:paraId="07114856" w14:textId="77777777" w:rsidR="004C04EB" w:rsidRPr="004C04EB" w:rsidRDefault="004C04EB" w:rsidP="004C04EB">
            <w:pPr>
              <w:jc w:val="both"/>
            </w:pPr>
            <w:r w:rsidRPr="004C04EB">
              <w:rPr>
                <w:b/>
                <w:bCs/>
              </w:rPr>
              <w:t>A.</w:t>
            </w:r>
            <w:r w:rsidRPr="004C04EB">
              <w:t> Sim, diante da ausência de outorga conjugal (0,55), nos termos do Art. 1.647, inciso III, do CC, </w:t>
            </w:r>
            <w:r w:rsidRPr="004C04EB">
              <w:rPr>
                <w:b/>
                <w:bCs/>
                <w:i/>
                <w:iCs/>
                <w:u w:val="single"/>
              </w:rPr>
              <w:t>ou</w:t>
            </w:r>
            <w:r w:rsidRPr="004C04EB">
              <w:t> na Súmula 332 do STJ (0,10). </w:t>
            </w:r>
          </w:p>
        </w:tc>
        <w:tc>
          <w:tcPr>
            <w:tcW w:w="0" w:type="auto"/>
            <w:tcBorders>
              <w:top w:val="nil"/>
              <w:left w:val="nil"/>
              <w:bottom w:val="single" w:sz="8" w:space="0" w:color="auto"/>
              <w:right w:val="single" w:sz="8" w:space="0" w:color="auto"/>
            </w:tcBorders>
            <w:tcMar>
              <w:top w:w="53" w:type="dxa"/>
              <w:left w:w="68" w:type="dxa"/>
              <w:bottom w:w="14" w:type="dxa"/>
              <w:right w:w="20" w:type="dxa"/>
            </w:tcMar>
            <w:vAlign w:val="center"/>
            <w:hideMark/>
          </w:tcPr>
          <w:p w14:paraId="3D10BF8B" w14:textId="77777777" w:rsidR="004C04EB" w:rsidRPr="004C04EB" w:rsidRDefault="004C04EB" w:rsidP="004C04EB">
            <w:pPr>
              <w:jc w:val="both"/>
            </w:pPr>
            <w:r w:rsidRPr="004C04EB">
              <w:t>0,00/0,55/0,65</w:t>
            </w:r>
          </w:p>
        </w:tc>
      </w:tr>
      <w:tr w:rsidR="004C04EB" w:rsidRPr="004C04EB" w14:paraId="73A54BF9" w14:textId="77777777">
        <w:tc>
          <w:tcPr>
            <w:tcW w:w="0" w:type="auto"/>
            <w:tcBorders>
              <w:top w:val="nil"/>
              <w:left w:val="single" w:sz="8" w:space="0" w:color="auto"/>
              <w:bottom w:val="single" w:sz="8" w:space="0" w:color="auto"/>
              <w:right w:val="single" w:sz="8" w:space="0" w:color="auto"/>
            </w:tcBorders>
            <w:tcMar>
              <w:top w:w="53" w:type="dxa"/>
              <w:left w:w="68" w:type="dxa"/>
              <w:bottom w:w="14" w:type="dxa"/>
              <w:right w:w="20" w:type="dxa"/>
            </w:tcMar>
            <w:hideMark/>
          </w:tcPr>
          <w:p w14:paraId="4516B024" w14:textId="77777777" w:rsidR="004C04EB" w:rsidRPr="004C04EB" w:rsidRDefault="004C04EB" w:rsidP="004C04EB">
            <w:pPr>
              <w:jc w:val="both"/>
            </w:pPr>
            <w:r w:rsidRPr="004C04EB">
              <w:rPr>
                <w:b/>
                <w:bCs/>
              </w:rPr>
              <w:t>B.</w:t>
            </w:r>
            <w:r w:rsidRPr="004C04EB">
              <w:t> É cabível o recurso de Apelação (0,30), nos termos do Art. 1.009 do CPC (0,10), pois a decisão que julgou os Embargos de Terceiro proposto por Maria tem natureza jurídica de sentença (0,20).</w:t>
            </w:r>
          </w:p>
        </w:tc>
        <w:tc>
          <w:tcPr>
            <w:tcW w:w="0" w:type="auto"/>
            <w:tcBorders>
              <w:top w:val="nil"/>
              <w:left w:val="nil"/>
              <w:bottom w:val="single" w:sz="8" w:space="0" w:color="auto"/>
              <w:right w:val="single" w:sz="8" w:space="0" w:color="auto"/>
            </w:tcBorders>
            <w:tcMar>
              <w:top w:w="53" w:type="dxa"/>
              <w:left w:w="68" w:type="dxa"/>
              <w:bottom w:w="14" w:type="dxa"/>
              <w:right w:w="20" w:type="dxa"/>
            </w:tcMar>
            <w:vAlign w:val="center"/>
            <w:hideMark/>
          </w:tcPr>
          <w:p w14:paraId="1270276D" w14:textId="77777777" w:rsidR="004C04EB" w:rsidRPr="004C04EB" w:rsidRDefault="004C04EB" w:rsidP="004C04EB">
            <w:pPr>
              <w:jc w:val="both"/>
            </w:pPr>
            <w:r w:rsidRPr="004C04EB">
              <w:t>0,00/0,30/0,40/ 0,50/0,60</w:t>
            </w:r>
          </w:p>
        </w:tc>
      </w:tr>
    </w:tbl>
    <w:p w14:paraId="2243E37C" w14:textId="27608552" w:rsidR="004C04EB" w:rsidRDefault="004C04EB" w:rsidP="004C04EB">
      <w:pPr>
        <w:jc w:val="both"/>
      </w:pPr>
      <w:r w:rsidRPr="004C04EB">
        <w:br/>
        <w:t> </w:t>
      </w:r>
    </w:p>
    <w:p w14:paraId="27622C62" w14:textId="77777777" w:rsidR="004C04EB" w:rsidRDefault="004C04EB" w:rsidP="004C04EB">
      <w:pPr>
        <w:jc w:val="both"/>
      </w:pPr>
    </w:p>
    <w:p w14:paraId="4192996D" w14:textId="77777777" w:rsidR="004C04EB" w:rsidRPr="004C04EB" w:rsidRDefault="004C04EB" w:rsidP="004C04EB">
      <w:pPr>
        <w:jc w:val="both"/>
      </w:pPr>
    </w:p>
    <w:sectPr w:rsidR="004C04EB" w:rsidRPr="004C04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260761"/>
    <w:rsid w:val="00313790"/>
    <w:rsid w:val="00342B94"/>
    <w:rsid w:val="003A6172"/>
    <w:rsid w:val="003E625A"/>
    <w:rsid w:val="00434F1C"/>
    <w:rsid w:val="004C04EB"/>
    <w:rsid w:val="004E7566"/>
    <w:rsid w:val="005F08EA"/>
    <w:rsid w:val="006365E5"/>
    <w:rsid w:val="0065287B"/>
    <w:rsid w:val="00747601"/>
    <w:rsid w:val="007D658B"/>
    <w:rsid w:val="00816E88"/>
    <w:rsid w:val="00865FB5"/>
    <w:rsid w:val="00977544"/>
    <w:rsid w:val="009C0DD1"/>
    <w:rsid w:val="00AA107C"/>
    <w:rsid w:val="00AB69D4"/>
    <w:rsid w:val="00AB7B83"/>
    <w:rsid w:val="00AC1CBB"/>
    <w:rsid w:val="00AD6D71"/>
    <w:rsid w:val="00B675F3"/>
    <w:rsid w:val="00C71470"/>
    <w:rsid w:val="00D57786"/>
    <w:rsid w:val="00D744BA"/>
    <w:rsid w:val="00D7454A"/>
    <w:rsid w:val="00E81272"/>
    <w:rsid w:val="00EA2F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2551</Words>
  <Characters>13781</Characters>
  <Application>Microsoft Office Word</Application>
  <DocSecurity>0</DocSecurity>
  <Lines>114</Lines>
  <Paragraphs>32</Paragraphs>
  <ScaleCrop>false</ScaleCrop>
  <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7</cp:revision>
  <dcterms:created xsi:type="dcterms:W3CDTF">2026-08-24T23:38:00Z</dcterms:created>
  <dcterms:modified xsi:type="dcterms:W3CDTF">2026-08-25T23:28:00Z</dcterms:modified>
</cp:coreProperties>
</file>